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969" w:rsidRPr="00A70969" w:rsidRDefault="00A70969" w:rsidP="00A70969">
      <w:pPr>
        <w:autoSpaceDE w:val="0"/>
        <w:autoSpaceDN w:val="0"/>
        <w:adjustRightInd w:val="0"/>
        <w:spacing w:after="0" w:line="190" w:lineRule="atLeast"/>
        <w:jc w:val="center"/>
        <w:textAlignment w:val="center"/>
        <w:rPr>
          <w:rFonts w:ascii="Arial" w:hAnsi="Arial" w:cs="Arial"/>
          <w:b/>
          <w:bCs/>
          <w:color w:val="000000"/>
          <w:spacing w:val="4"/>
          <w:w w:val="95"/>
          <w:sz w:val="18"/>
          <w:szCs w:val="18"/>
        </w:rPr>
      </w:pPr>
      <w:r w:rsidRPr="00A70969">
        <w:rPr>
          <w:rFonts w:ascii="Arial" w:hAnsi="Arial" w:cs="Arial"/>
          <w:b/>
          <w:bCs/>
          <w:color w:val="000000"/>
          <w:spacing w:val="4"/>
          <w:w w:val="95"/>
          <w:sz w:val="18"/>
          <w:szCs w:val="18"/>
        </w:rPr>
        <w:t>ПОСТАНОВЛЕНИЕ</w:t>
      </w:r>
    </w:p>
    <w:p w:rsidR="00A70969" w:rsidRPr="00A70969" w:rsidRDefault="00A70969" w:rsidP="00A70969">
      <w:pPr>
        <w:autoSpaceDE w:val="0"/>
        <w:autoSpaceDN w:val="0"/>
        <w:adjustRightInd w:val="0"/>
        <w:spacing w:after="0" w:line="190" w:lineRule="atLeast"/>
        <w:jc w:val="center"/>
        <w:textAlignment w:val="center"/>
        <w:rPr>
          <w:rFonts w:ascii="Arial" w:hAnsi="Arial" w:cs="Arial"/>
          <w:b/>
          <w:bCs/>
          <w:color w:val="000000"/>
          <w:spacing w:val="4"/>
          <w:w w:val="95"/>
          <w:sz w:val="18"/>
          <w:szCs w:val="18"/>
        </w:rPr>
      </w:pPr>
      <w:r w:rsidRPr="00A70969">
        <w:rPr>
          <w:rFonts w:ascii="Arial" w:hAnsi="Arial" w:cs="Arial"/>
          <w:b/>
          <w:bCs/>
          <w:color w:val="000000"/>
          <w:spacing w:val="4"/>
          <w:w w:val="95"/>
          <w:sz w:val="18"/>
          <w:szCs w:val="18"/>
        </w:rPr>
        <w:t>мэра города Астрахани</w:t>
      </w:r>
    </w:p>
    <w:p w:rsidR="00A70969" w:rsidRPr="00A70969" w:rsidRDefault="00A70969" w:rsidP="00A70969">
      <w:pPr>
        <w:autoSpaceDE w:val="0"/>
        <w:autoSpaceDN w:val="0"/>
        <w:adjustRightInd w:val="0"/>
        <w:spacing w:after="0" w:line="190" w:lineRule="atLeast"/>
        <w:jc w:val="center"/>
        <w:textAlignment w:val="center"/>
        <w:rPr>
          <w:rFonts w:ascii="Arial" w:hAnsi="Arial" w:cs="Arial"/>
          <w:b/>
          <w:bCs/>
          <w:color w:val="000000"/>
          <w:spacing w:val="4"/>
          <w:w w:val="95"/>
          <w:sz w:val="18"/>
          <w:szCs w:val="18"/>
        </w:rPr>
      </w:pPr>
      <w:r w:rsidRPr="00A70969">
        <w:rPr>
          <w:rFonts w:ascii="Arial" w:hAnsi="Arial" w:cs="Arial"/>
          <w:b/>
          <w:bCs/>
          <w:color w:val="000000"/>
          <w:spacing w:val="4"/>
          <w:w w:val="95"/>
          <w:sz w:val="18"/>
          <w:szCs w:val="18"/>
        </w:rPr>
        <w:t>09 декабря 2013 года № 10908-м</w:t>
      </w:r>
    </w:p>
    <w:p w:rsidR="00A70969" w:rsidRPr="00A70969" w:rsidRDefault="00A70969" w:rsidP="00A70969">
      <w:pPr>
        <w:autoSpaceDE w:val="0"/>
        <w:autoSpaceDN w:val="0"/>
        <w:adjustRightInd w:val="0"/>
        <w:spacing w:after="0" w:line="190" w:lineRule="atLeast"/>
        <w:jc w:val="center"/>
        <w:textAlignment w:val="center"/>
        <w:rPr>
          <w:rFonts w:ascii="Arial" w:hAnsi="Arial" w:cs="Arial"/>
          <w:b/>
          <w:bCs/>
          <w:color w:val="000000"/>
          <w:spacing w:val="4"/>
          <w:w w:val="95"/>
          <w:sz w:val="18"/>
          <w:szCs w:val="18"/>
        </w:rPr>
      </w:pPr>
      <w:r w:rsidRPr="00A70969">
        <w:rPr>
          <w:rFonts w:ascii="Arial" w:hAnsi="Arial" w:cs="Arial"/>
          <w:b/>
          <w:bCs/>
          <w:color w:val="000000"/>
          <w:spacing w:val="4"/>
          <w:w w:val="95"/>
          <w:sz w:val="18"/>
          <w:szCs w:val="18"/>
        </w:rPr>
        <w:t xml:space="preserve">«Об утверждении проекта планировки и межевания территории земель </w:t>
      </w:r>
    </w:p>
    <w:p w:rsidR="00A70969" w:rsidRPr="00A70969" w:rsidRDefault="00A70969" w:rsidP="00A70969">
      <w:pPr>
        <w:autoSpaceDE w:val="0"/>
        <w:autoSpaceDN w:val="0"/>
        <w:adjustRightInd w:val="0"/>
        <w:spacing w:after="0" w:line="190" w:lineRule="atLeast"/>
        <w:jc w:val="center"/>
        <w:textAlignment w:val="center"/>
        <w:rPr>
          <w:rFonts w:ascii="Arial" w:hAnsi="Arial" w:cs="Arial"/>
          <w:b/>
          <w:bCs/>
          <w:color w:val="000000"/>
          <w:spacing w:val="4"/>
          <w:w w:val="95"/>
          <w:sz w:val="18"/>
          <w:szCs w:val="18"/>
        </w:rPr>
      </w:pPr>
      <w:r w:rsidRPr="00A70969">
        <w:rPr>
          <w:rFonts w:ascii="Arial" w:hAnsi="Arial" w:cs="Arial"/>
          <w:b/>
          <w:bCs/>
          <w:color w:val="000000"/>
          <w:spacing w:val="4"/>
          <w:w w:val="95"/>
          <w:sz w:val="18"/>
          <w:szCs w:val="18"/>
        </w:rPr>
        <w:t>населенных пунктов в границах улиц Боевой, Пороховой</w:t>
      </w:r>
    </w:p>
    <w:p w:rsidR="00A70969" w:rsidRPr="00A70969" w:rsidRDefault="00A70969" w:rsidP="00A70969">
      <w:pPr>
        <w:autoSpaceDE w:val="0"/>
        <w:autoSpaceDN w:val="0"/>
        <w:adjustRightInd w:val="0"/>
        <w:spacing w:after="0" w:line="190" w:lineRule="atLeast"/>
        <w:jc w:val="center"/>
        <w:textAlignment w:val="center"/>
        <w:rPr>
          <w:rFonts w:ascii="Arial" w:hAnsi="Arial" w:cs="Arial"/>
          <w:b/>
          <w:bCs/>
          <w:color w:val="000000"/>
          <w:spacing w:val="4"/>
          <w:w w:val="95"/>
          <w:sz w:val="18"/>
          <w:szCs w:val="18"/>
        </w:rPr>
      </w:pPr>
      <w:r w:rsidRPr="00A70969">
        <w:rPr>
          <w:rFonts w:ascii="Arial" w:hAnsi="Arial" w:cs="Arial"/>
          <w:b/>
          <w:bCs/>
          <w:color w:val="000000"/>
          <w:spacing w:val="4"/>
          <w:w w:val="95"/>
          <w:sz w:val="18"/>
          <w:szCs w:val="18"/>
        </w:rPr>
        <w:t>в Советском районе г. Астрахани»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В соответствии со ст. 46 Градостроительного кодекса Российской Федерации, постановлением мэра города Астрахани от 30.01.2009 № 244-м «Об утверждении Положения о порядке подготовки документации по планировке территорий муниципального образования «Город Астрахань» с изменениями, внесенными постановлениями мэра города от 06.10.2011 № 9364-м, от 10.01.2013 № 09-м, протоколом заседания комиссии по землепользованию и застройке г. Астрахани от 06.08.2013, заключением о результатах публичных слушаний, опубликованным в бюллетене «Астраханский вестник» от 24.10.2013 № 43, ПОСТАНОВЛЯЮ:</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1. Утвердить проект планировки и межевания территории земель населенных пунктов в границах улиц Боевой, Пороховой в Советском районе г. Астрахани.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z w:val="17"/>
          <w:szCs w:val="17"/>
        </w:rPr>
        <w:t xml:space="preserve">2. Управлению информационного обеспечения деятельности администрации г. </w:t>
      </w:r>
      <w:r w:rsidRPr="00A70969">
        <w:rPr>
          <w:rFonts w:ascii="Arial" w:hAnsi="Arial" w:cs="Arial"/>
          <w:color w:val="000000"/>
          <w:spacing w:val="3"/>
          <w:sz w:val="17"/>
          <w:szCs w:val="17"/>
        </w:rPr>
        <w:t>Астрахани: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2.1. Разместить на официальном сайте органов местного самоуправления города Астрахани настоящее постановление мэра города и документацию по планировке и межеванию территории.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2.2. Опубликовать настоящее постановление мэра города и документацию по планировке и межеванию территории в средствах массовой информации.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xml:space="preserve">3. Контроль за исполнением настоящего постановления мэра города возложить на вице-мэра города, курирующего сферу капитального строительства, градостроительства, архитектуры, строительную и жилищную политику, земельные ресурсы. </w:t>
      </w:r>
    </w:p>
    <w:p w:rsidR="00A70969" w:rsidRPr="00A70969" w:rsidRDefault="00A70969" w:rsidP="00A70969">
      <w:pPr>
        <w:autoSpaceDE w:val="0"/>
        <w:autoSpaceDN w:val="0"/>
        <w:adjustRightInd w:val="0"/>
        <w:spacing w:after="0" w:line="180" w:lineRule="atLeast"/>
        <w:ind w:firstLine="227"/>
        <w:jc w:val="right"/>
        <w:textAlignment w:val="center"/>
        <w:rPr>
          <w:rFonts w:ascii="Arial" w:hAnsi="Arial" w:cs="Arial"/>
          <w:b/>
          <w:bCs/>
          <w:color w:val="000000"/>
          <w:spacing w:val="3"/>
          <w:sz w:val="17"/>
          <w:szCs w:val="17"/>
        </w:rPr>
      </w:pPr>
      <w:r w:rsidRPr="00A70969">
        <w:rPr>
          <w:rFonts w:ascii="Arial" w:hAnsi="Arial" w:cs="Arial"/>
          <w:b/>
          <w:bCs/>
          <w:color w:val="000000"/>
          <w:spacing w:val="3"/>
          <w:sz w:val="17"/>
          <w:szCs w:val="17"/>
        </w:rPr>
        <w:t>И.о. мэра города И.Ю. ЕГОРОВА</w:t>
      </w:r>
    </w:p>
    <w:p w:rsidR="00A70969" w:rsidRPr="00A70969" w:rsidRDefault="00A70969" w:rsidP="00A70969">
      <w:pPr>
        <w:autoSpaceDE w:val="0"/>
        <w:autoSpaceDN w:val="0"/>
        <w:adjustRightInd w:val="0"/>
        <w:spacing w:before="57" w:after="0" w:line="180" w:lineRule="atLeast"/>
        <w:ind w:left="2268"/>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xml:space="preserve">Утвержден постановлением мэра города </w:t>
      </w:r>
    </w:p>
    <w:p w:rsidR="00A70969" w:rsidRPr="00A70969" w:rsidRDefault="00A70969" w:rsidP="00A70969">
      <w:pPr>
        <w:autoSpaceDE w:val="0"/>
        <w:autoSpaceDN w:val="0"/>
        <w:adjustRightInd w:val="0"/>
        <w:spacing w:after="0" w:line="180" w:lineRule="atLeast"/>
        <w:ind w:left="2268"/>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от 09.12.2013 № 10908-м</w:t>
      </w:r>
    </w:p>
    <w:p w:rsidR="00A70969" w:rsidRPr="00A70969" w:rsidRDefault="00A70969" w:rsidP="00A70969">
      <w:pPr>
        <w:autoSpaceDE w:val="0"/>
        <w:autoSpaceDN w:val="0"/>
        <w:adjustRightInd w:val="0"/>
        <w:spacing w:after="0" w:line="190" w:lineRule="atLeast"/>
        <w:jc w:val="center"/>
        <w:textAlignment w:val="center"/>
        <w:rPr>
          <w:rFonts w:ascii="Arial" w:hAnsi="Arial" w:cs="Arial"/>
          <w:b/>
          <w:bCs/>
          <w:color w:val="000000"/>
          <w:spacing w:val="4"/>
          <w:w w:val="95"/>
          <w:sz w:val="18"/>
          <w:szCs w:val="18"/>
        </w:rPr>
      </w:pPr>
      <w:r w:rsidRPr="00A70969">
        <w:rPr>
          <w:rFonts w:ascii="Arial" w:hAnsi="Arial" w:cs="Arial"/>
          <w:b/>
          <w:bCs/>
          <w:color w:val="000000"/>
          <w:spacing w:val="4"/>
          <w:w w:val="95"/>
          <w:sz w:val="18"/>
          <w:szCs w:val="18"/>
        </w:rPr>
        <w:t xml:space="preserve">Проект планировки и межевания территории земель населенных пунктов </w:t>
      </w:r>
    </w:p>
    <w:p w:rsidR="00A70969" w:rsidRPr="00A70969" w:rsidRDefault="00A70969" w:rsidP="00A70969">
      <w:pPr>
        <w:autoSpaceDE w:val="0"/>
        <w:autoSpaceDN w:val="0"/>
        <w:adjustRightInd w:val="0"/>
        <w:spacing w:after="0" w:line="190" w:lineRule="atLeast"/>
        <w:jc w:val="center"/>
        <w:textAlignment w:val="center"/>
        <w:rPr>
          <w:rFonts w:ascii="Arial" w:hAnsi="Arial" w:cs="Arial"/>
          <w:b/>
          <w:bCs/>
          <w:color w:val="000000"/>
          <w:spacing w:val="4"/>
          <w:w w:val="95"/>
          <w:sz w:val="18"/>
          <w:szCs w:val="18"/>
        </w:rPr>
      </w:pPr>
      <w:r w:rsidRPr="00A70969">
        <w:rPr>
          <w:rFonts w:ascii="Arial" w:hAnsi="Arial" w:cs="Arial"/>
          <w:b/>
          <w:bCs/>
          <w:color w:val="000000"/>
          <w:spacing w:val="4"/>
          <w:w w:val="95"/>
          <w:sz w:val="18"/>
          <w:szCs w:val="18"/>
        </w:rPr>
        <w:t>в границах улиц Боевой, Пороховой в Советском районе г. Астрахани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Пояснительная записка</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Проект межевания территории в границах улиц Боевой, Пороховой в Советском районе г. Астрахани разработан ООО «Проектстройсервис».</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ООО «Проектстройсервис» зарегистрировано ИНФС по Кировскому району г. Астрахани 04 февраля 2008, свидетельство о регистрации серия 30 № 001024829.</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Основанием для разработки проекта межевания послужили: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постановление мэра города Астрахани от 14 мая 2012 № 3990-м;</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задание на разработку документации по планировке и межеванию территории в границах улиц Боевой, Пороховой в Советском районе г. Астрахани, утвержденное начальником управления по строительству, архитектуре и градостроительству администрации г. Астрахани Т.А. Бровиной в 2012 г.</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Целью разработки проекта межевания является определение геодезических параметров (координат и площадей) проектных решений, предусмотренных данным проектом планировки.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xml:space="preserve">Разработка проекта межевания осуществляется в составе проекта планировки. </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xml:space="preserve">Проектируемый участок расположен в Советском районе г. Астрахани, в границах улиц Боевой, Пороховой и представляет собой застроенную территорию, с расположением на ней многоэтажной жилой застройки, индивидуальных металлических гаражей, объектами социального назначения и торговли, стоянками автотранспортных средств. </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В отношении государственного кадастрового учета проектируемый участок расположен в границах одного кадастрового квартала № 30:12:030024.</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Категория земель - земли населенных пунктов.</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Исходными материалами для разработки проекта межевания послужили: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красные линии, разработанные в составе проекта планировки территории в границах улиц Боевой, Пороховой в Советском районе г. Астрахани;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кадастровый план территории (выписка из государственного кадастра недвижимости) № 3015/115/2013-48795 от 07.05.2013 (приложение);</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кадастровые выписки о земельных участках, относящиеся к данному кварталу, (выписки из государственного кадастра недвижимости) в количестве 25 штук (хранятся в архивном деле объекта);</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съемка в масштабе 1:500 на планшетах номенклатуры 173-04, 05, 12, 13, составленная Астраханским аэрогеодезическим предприятием в 1996-97 годах и откорректированная в 2008 году Астраханским трестом инженерно-строительных изысканий.</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Система координат - местная (г. Астрахань), система высот - Балтийская, 77, отметки отрицательные.</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Проект межевания территории включает в себя чертежи межевания территории: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1. Схема границ застроенных земельных участков по кадастровому учету в масштабе 1:1000.</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2. Чертеж красных линий и каталог координат красных линий в масштабе 1:1000.</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На схеме границ застроенных земельных участков показаны земельные участки, прошедшие кадастровый учет, с разграничением их на участки, поставленные на кадастровый учет в соответствии с требованием законодательства, и на земельные участки, поставленные на кадастровый учет декларативно. Также на схеме отображены красные линии, утвержденные в составе проекта планировки, и земельный участок, сформированный для комплексного освоения в целях жилищного строительства.</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xml:space="preserve">В границах проектных работ зон действия публичных и частных сервитутов по кадастровому учету не выявлено. </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Проектом планировки установление зон публичных сервитутов не предусмотрено.</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xml:space="preserve">По данным государственного кадастрового учета, в границах проектных работ отсутствуют зоны с особыми условиями использования территорий, охранные и санитарно-защитные зоны, зоны охраны объектов культурного наследия и иные зоны, установленные в соответствии с действующим законодательством. </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Создание таких зон проектом планировки не предусмотрено.</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lastRenderedPageBreak/>
        <w:t xml:space="preserve">Каталог координат красных линий приведен в приложении 2.2. </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xml:space="preserve">Каталог координат формируемого земельного участка приведен в приложении 2.1. </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Проект межевания территории разработан в границах задания, которое предполагает разработку документации по планировке территории на часть квартала, поэтому технико-экономические показатели (баланс площадей) не разрабатывались.</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Проект межевания территории выполнен в соответствии с заданием на разработку документации по планировке и межеванию территории.</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xml:space="preserve">Проект межевания территории составлен в 5 экземплярах и направлен: </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заказчику ООО «Пневмострой» - 2 экз.;</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управление по строительству, архитектуре и градостроительству администрации города - 2 экз.;</w:t>
      </w:r>
    </w:p>
    <w:p w:rsidR="00A70969" w:rsidRPr="00A70969" w:rsidRDefault="00A70969" w:rsidP="00A70969">
      <w:r w:rsidRPr="00A70969">
        <w:t>- архив ООО «Проектстройсервис» - 1 экз.</w:t>
      </w:r>
    </w:p>
    <w:p w:rsidR="00A70969" w:rsidRPr="00A70969" w:rsidRDefault="00A70969" w:rsidP="00A70969"/>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ПОЯСНИТЕЛЬНАЯ ЗАПИСКА.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1. Введение.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 планировки и межевания территории разработан по заказу ООО «Пневмострой» на основании постановления администрации г. Астрахани от 14 мая 2012 г. № 3990-м «О разработке документации по планировке и межеванию территории в границах улиц Боевой, Пороховой в Советском районе», а также задания на разработку градостроительной документации по планировке и межеванию вышеуказанной территории, утвержденного начальником управления по строительству, архитектуре и градостроительству администрации г. Астрахани Т.А. Бровиной.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 застройки территории подготовлен в целях:</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обеспечения устойчивого развития данной территории;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определения границ земельных участков, предназначенных для размещения объектов капитального строительства, размещения объектов инженерной инфраструктуры линейных объектов;</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обоснования и законодательного оформления границ территорий общего пользования;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приведения в соответствие с нормами градостроительного проектирования схемы организации улично-дорожной сети, что позволит органу местного самоуправления оперативно принимать решения по развитию территории.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При подготовке проекта планировки учтены ранее выполненные проекты территориального планирования, документы по планировке территории, проектная документация: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Генеральный план развития г. Астрахани до 2025 года в новой редакции, утвержденный решением Городской Думы МО «Город Астрахань» № 140 от 08.09.2011 г.;</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Правила землепользования и застройки г. Астрахани в новой редакции, утвержденные решением Городской Думы МО «Город Астрахань» № 144 от 30.09.2011 г.;</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проект «Комплексная транспортная схема города Астрахани», утвержденный постановлением мэра города от 06.11.2009г. № 5514-м.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Графическая часть проекта выполнена на топогеодезической съемке М 1:1000. Топографическая съемка территории в границах улиц Боевой, Пороховой - разных лет.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2. Существующее состояние.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2.1. Градостроительная ситуация.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Проектируемая территория расположена в Советском районе г. Астрахани. Данная территория является городским образованием южного планировочного района города. В границах данного образования размещены жилые и общественные здания различных видов собственности, а также объекты коммунального назначения.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В соответствии с Генеральным планом г. Астрахани данная территория предназначена для размещения производственно-коммунальных объектов V класса (ПК-4) и многоэтажной жилой застройки (Ж-3). Разработка документации осуществлена в отношении застроенной и подлежащей застройке территории.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Границами территории являются: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с севера - ул. Пороховая;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с востока - ул. Боевая;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с юга - квартал малоэтажной застройки;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с запада - квартал малоэтажной и многоэтажной застройки.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2.2. Климатическая характеристика и инженерно-геологические условия.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Климат г. Астрахани резко континентальный, среднегодовая температура воздуха - +9,5</w:t>
      </w:r>
      <w:r w:rsidRPr="00A70969">
        <w:rPr>
          <w:rFonts w:ascii="Arial" w:hAnsi="Arial" w:cs="Arial"/>
          <w:color w:val="000000"/>
          <w:spacing w:val="3"/>
          <w:w w:val="90"/>
          <w:sz w:val="17"/>
          <w:szCs w:val="17"/>
          <w:vertAlign w:val="superscript"/>
        </w:rPr>
        <w:t>о</w:t>
      </w:r>
      <w:r w:rsidRPr="00A70969">
        <w:rPr>
          <w:rFonts w:ascii="Arial" w:hAnsi="Arial" w:cs="Arial"/>
          <w:color w:val="000000"/>
          <w:spacing w:val="3"/>
          <w:w w:val="90"/>
          <w:sz w:val="17"/>
          <w:szCs w:val="17"/>
        </w:rPr>
        <w:t>С. Среднемесячные температуры июля и января соответственно составляют +29,5 и -4,9</w:t>
      </w:r>
      <w:r w:rsidRPr="00A70969">
        <w:rPr>
          <w:rFonts w:ascii="Arial" w:hAnsi="Arial" w:cs="Arial"/>
          <w:color w:val="000000"/>
          <w:spacing w:val="3"/>
          <w:w w:val="90"/>
          <w:sz w:val="17"/>
          <w:szCs w:val="17"/>
          <w:vertAlign w:val="superscript"/>
        </w:rPr>
        <w:t>о</w:t>
      </w:r>
      <w:r w:rsidRPr="00A70969">
        <w:rPr>
          <w:rFonts w:ascii="Arial" w:hAnsi="Arial" w:cs="Arial"/>
          <w:color w:val="000000"/>
          <w:spacing w:val="3"/>
          <w:w w:val="90"/>
          <w:sz w:val="17"/>
          <w:szCs w:val="17"/>
        </w:rPr>
        <w:t>С. Экстремальные температуры в эти месяцы достигают +40 и -34</w:t>
      </w:r>
      <w:r w:rsidRPr="00A70969">
        <w:rPr>
          <w:rFonts w:ascii="Arial" w:hAnsi="Arial" w:cs="Arial"/>
          <w:color w:val="000000"/>
          <w:spacing w:val="3"/>
          <w:w w:val="90"/>
          <w:sz w:val="17"/>
          <w:szCs w:val="17"/>
          <w:vertAlign w:val="superscript"/>
        </w:rPr>
        <w:t>о</w:t>
      </w:r>
      <w:r w:rsidRPr="00A70969">
        <w:rPr>
          <w:rFonts w:ascii="Arial" w:hAnsi="Arial" w:cs="Arial"/>
          <w:color w:val="000000"/>
          <w:spacing w:val="3"/>
          <w:w w:val="90"/>
          <w:sz w:val="17"/>
          <w:szCs w:val="17"/>
        </w:rPr>
        <w:t xml:space="preserve">С. Территория недостаточно увлажняется, за год выпадает 213 мм осадков, почти равномерно в течение года. Среднегодовая относительная влажность воздуха составляет 69%. Максимум наблюдается в январе - 86%. Минимум относительной влажности отмечается в июне - июле - 53-54%. Ветровой режим в течение всего года характеризуется преобладанием восточных ветров. Плоский рельеф территории создает благоприятные условия для ветрового режима: среднегодовая скорость ветра - 2,9 м/сек. Максимальная скорость ветра Ю-В - 30 м/сек.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Абсолютные отметки поверхности изменяются в пределах от минус 21,60 до минус 22,30 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2.3. Использование территории.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 настоящее время планируемая территория разделена на две зоны:</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в северной части размещены объекты производственно-коммунального назначения (территории гаражных кооперативов, хлебозавода им. Лемисова и ГУ «Астоблкиновидеопрокат»);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в южной части - 5-9-этажные жилые дома, здания общественного назначения (детское дошкольное предприятие, предприятия торговли и бытового обслуживания).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Памятники истории и архитектуры на данном участке отсутствуют.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2.4. Транспортная и инженерная инфраструктура.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Улично-дорожная сеть представлена улицами Боевая, Пороховая. Данные улицы несут основную транспортную нагрузку. Сеть пассажирского транспорта представлена автомобильным транспортом и маршрутными такси. Состояние дорожного покрытия данных улиц удовлетворительное, однако улицы перегружены инженерными коммуникациями, как правило в ветхом состоянии, требующими постоянного ремонта, что негативно сказывается на организации транспортного движения. Степень благоустройства данной территории вполне удовлетворительная.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lastRenderedPageBreak/>
        <w:t xml:space="preserve">Ширина внутриквартальных проездов не соответствует нормативам. В существующей жилой застройке недостаточно стоянок для автомобильного транспорта.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Система центрального сбора и очистки дождевых стоков на данной территории отсутствует. Отвод ливневых стоков с покрытий дорог осуществляется в прилегающие к объектам зеленые зоны.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2.5. Обоснование планировочной организации территории.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В соответствии с Правилами землепользования и застройки г. Астрахани, утвержденными решением Городской Думы, рассматриваемый участок по перечню территориальных зон, выделенных на карте градостроительного зонирования (статья 8), находится в зоне многоэтажной жилой застройки (Ж-3) и в зоне производственно-коммунальных объектов V класса (ПК-4).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Данная территория является благоприятной для строительства и отвечает возможностям ее рационального функционального использования. Учитывая произведенные отводы и начатое строительство, целесообразно завершение формирования микрорайона на рассматриваемом участке.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 основу архитектурно-планировочного решения положены принцип четкого функционального зонирования рассматриваемой территории, градостроительные регламенты, правила землепользования и застройки, определенные Генеральным планом города. Микрорайон является перспективным для нового строительства.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Проектом предусмотрено сохранение направления существующих улиц (Боевая, Пороховая) и пробивка ул. Генерала Епишева.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Данные улицы несут основную транспортную нагрузку.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 Проектные решения.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3.1. Планировочная структура.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Застройка улиц осуществлена непрерывным фронтом существующих 5-9-этажных жилых домов. Первые этажи домов, расположенных вдоль улиц, предлагается использовать для размещения объектов социальной инфраструктуры.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В композиционном отношении застройка микрорайона сформирована из нескольких укрупненных групп со своими благоустроенными дворовыми пространствами. В центре микрорайона, вдали от магистральных улиц, размещается детский сад вместимостью 280 мест.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Проектируемый 12-14-16-этажный жилой дом расположен южнее территории хлебозавода им. Лемисова в центре жилого образования. Подъезд к дому предлагается организовать с проектируемой пробивки ул. Ген. Епишева. Благоустройством придомовой территории учтены требования по организации проезда пожарных механизированных подразделений вокруг здания. В настоящее время производство на хлебозаводе им. Лемисова прекращено.</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На территории данного объекта расположены административные, складские помещения. В проекте предлагается разместить, в перспективе, на данной территории многоэтажную стоянку с учетом санитарных норм.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3.2. Территории общего пользования и красные линии.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Территории общего пользования отделяются от территории микрорайона красными линиями. Красные линии установлены с учетом материалов Генерального плана г. Астрахани, комплексной транспортной схемы города, «Рекомендаций по проектированию улиц и дорог городов и сельских поселений», а также с учетом фактически сложившейся капитальной застройки планируемой территории.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При разработке проекта планировки предусмотрены зоны зеленых насаждений общего пользования, без учета территорий детского дошкольного учреждения. На территории микрорайона запроектировано размещение максимально возможного количества автостоянок для хранения индивидуального автотранспорта.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3.2.1. Таблица координат поворотных точек красных линий. </w:t>
      </w:r>
    </w:p>
    <w:tbl>
      <w:tblPr>
        <w:tblW w:w="0" w:type="auto"/>
        <w:tblInd w:w="28" w:type="dxa"/>
        <w:tblLayout w:type="fixed"/>
        <w:tblCellMar>
          <w:left w:w="0" w:type="dxa"/>
          <w:right w:w="0" w:type="dxa"/>
        </w:tblCellMar>
        <w:tblLook w:val="0000" w:firstRow="0" w:lastRow="0" w:firstColumn="0" w:lastColumn="0" w:noHBand="0" w:noVBand="0"/>
      </w:tblPr>
      <w:tblGrid>
        <w:gridCol w:w="3085"/>
        <w:gridCol w:w="2041"/>
        <w:gridCol w:w="2041"/>
      </w:tblGrid>
      <w:tr w:rsidR="00A70969" w:rsidRPr="00A70969" w:rsidTr="00501745">
        <w:tblPrEx>
          <w:tblCellMar>
            <w:top w:w="0" w:type="dxa"/>
            <w:left w:w="0" w:type="dxa"/>
            <w:bottom w:w="0" w:type="dxa"/>
            <w:right w:w="0" w:type="dxa"/>
          </w:tblCellMar>
        </w:tblPrEx>
        <w:trPr>
          <w:trHeight w:val="113"/>
        </w:trPr>
        <w:tc>
          <w:tcPr>
            <w:tcW w:w="3085" w:type="dxa"/>
            <w:tcBorders>
              <w:top w:val="single" w:sz="4"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точек координат</w:t>
            </w:r>
          </w:p>
        </w:tc>
        <w:tc>
          <w:tcPr>
            <w:tcW w:w="2041" w:type="dxa"/>
            <w:tcBorders>
              <w:top w:val="single" w:sz="4"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X</w:t>
            </w:r>
          </w:p>
        </w:tc>
        <w:tc>
          <w:tcPr>
            <w:tcW w:w="2041" w:type="dxa"/>
            <w:tcBorders>
              <w:top w:val="single" w:sz="4"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Y</w:t>
            </w:r>
          </w:p>
        </w:tc>
      </w:tr>
      <w:tr w:rsidR="00A70969" w:rsidRPr="00A70969" w:rsidTr="00501745">
        <w:tblPrEx>
          <w:tblCellMar>
            <w:top w:w="0" w:type="dxa"/>
            <w:left w:w="0" w:type="dxa"/>
            <w:bottom w:w="0" w:type="dxa"/>
            <w:right w:w="0" w:type="dxa"/>
          </w:tblCellMar>
        </w:tblPrEx>
        <w:trPr>
          <w:trHeight w:val="113"/>
        </w:trPr>
        <w:tc>
          <w:tcPr>
            <w:tcW w:w="3085"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-2579,49</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-918,07</w:t>
            </w:r>
          </w:p>
        </w:tc>
      </w:tr>
      <w:tr w:rsidR="00A70969" w:rsidRPr="00A70969" w:rsidTr="00501745">
        <w:tblPrEx>
          <w:tblCellMar>
            <w:top w:w="0" w:type="dxa"/>
            <w:left w:w="0" w:type="dxa"/>
            <w:bottom w:w="0" w:type="dxa"/>
            <w:right w:w="0" w:type="dxa"/>
          </w:tblCellMar>
        </w:tblPrEx>
        <w:trPr>
          <w:trHeight w:val="113"/>
        </w:trPr>
        <w:tc>
          <w:tcPr>
            <w:tcW w:w="3085"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-2383,69</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-938,23</w:t>
            </w:r>
          </w:p>
        </w:tc>
      </w:tr>
      <w:tr w:rsidR="00A70969" w:rsidRPr="00A70969" w:rsidTr="00501745">
        <w:tblPrEx>
          <w:tblCellMar>
            <w:top w:w="0" w:type="dxa"/>
            <w:left w:w="0" w:type="dxa"/>
            <w:bottom w:w="0" w:type="dxa"/>
            <w:right w:w="0" w:type="dxa"/>
          </w:tblCellMar>
        </w:tblPrEx>
        <w:trPr>
          <w:trHeight w:val="113"/>
        </w:trPr>
        <w:tc>
          <w:tcPr>
            <w:tcW w:w="3085"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-2056,88</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-887,84</w:t>
            </w:r>
          </w:p>
        </w:tc>
      </w:tr>
      <w:tr w:rsidR="00A70969" w:rsidRPr="00A70969" w:rsidTr="00501745">
        <w:tblPrEx>
          <w:tblCellMar>
            <w:top w:w="0" w:type="dxa"/>
            <w:left w:w="0" w:type="dxa"/>
            <w:bottom w:w="0" w:type="dxa"/>
            <w:right w:w="0" w:type="dxa"/>
          </w:tblCellMar>
        </w:tblPrEx>
        <w:trPr>
          <w:trHeight w:val="113"/>
        </w:trPr>
        <w:tc>
          <w:tcPr>
            <w:tcW w:w="3085"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4</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-2385,56</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-1078,80</w:t>
            </w:r>
          </w:p>
        </w:tc>
      </w:tr>
      <w:tr w:rsidR="00A70969" w:rsidRPr="00A70969" w:rsidTr="00501745">
        <w:tblPrEx>
          <w:tblCellMar>
            <w:top w:w="0" w:type="dxa"/>
            <w:left w:w="0" w:type="dxa"/>
            <w:bottom w:w="0" w:type="dxa"/>
            <w:right w:w="0" w:type="dxa"/>
          </w:tblCellMar>
        </w:tblPrEx>
        <w:trPr>
          <w:trHeight w:val="113"/>
        </w:trPr>
        <w:tc>
          <w:tcPr>
            <w:tcW w:w="3085"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-2360,24</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-1151,73</w:t>
            </w:r>
          </w:p>
        </w:tc>
      </w:tr>
      <w:tr w:rsidR="00A70969" w:rsidRPr="00A70969" w:rsidTr="00501745">
        <w:tblPrEx>
          <w:tblCellMar>
            <w:top w:w="0" w:type="dxa"/>
            <w:left w:w="0" w:type="dxa"/>
            <w:bottom w:w="0" w:type="dxa"/>
            <w:right w:w="0" w:type="dxa"/>
          </w:tblCellMar>
        </w:tblPrEx>
        <w:trPr>
          <w:trHeight w:val="113"/>
        </w:trPr>
        <w:tc>
          <w:tcPr>
            <w:tcW w:w="3085"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6</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-2444,13</w:t>
            </w:r>
          </w:p>
        </w:tc>
        <w:tc>
          <w:tcPr>
            <w:tcW w:w="2041" w:type="dxa"/>
            <w:tcBorders>
              <w:top w:val="single" w:sz="8" w:space="0" w:color="000000"/>
              <w:left w:val="single" w:sz="4" w:space="0" w:color="000000"/>
              <w:bottom w:val="single" w:sz="8"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-1162,66</w:t>
            </w:r>
          </w:p>
        </w:tc>
      </w:tr>
      <w:tr w:rsidR="00A70969" w:rsidRPr="00A70969" w:rsidTr="00501745">
        <w:tblPrEx>
          <w:tblCellMar>
            <w:top w:w="0" w:type="dxa"/>
            <w:left w:w="0" w:type="dxa"/>
            <w:bottom w:w="0" w:type="dxa"/>
            <w:right w:w="0" w:type="dxa"/>
          </w:tblCellMar>
        </w:tblPrEx>
        <w:trPr>
          <w:trHeight w:val="113"/>
        </w:trPr>
        <w:tc>
          <w:tcPr>
            <w:tcW w:w="3085" w:type="dxa"/>
            <w:tcBorders>
              <w:top w:val="single" w:sz="8"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7</w:t>
            </w:r>
          </w:p>
        </w:tc>
        <w:tc>
          <w:tcPr>
            <w:tcW w:w="2041" w:type="dxa"/>
            <w:tcBorders>
              <w:top w:val="single" w:sz="8"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-2553,17</w:t>
            </w:r>
          </w:p>
        </w:tc>
        <w:tc>
          <w:tcPr>
            <w:tcW w:w="2041" w:type="dxa"/>
            <w:tcBorders>
              <w:top w:val="single" w:sz="8"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-1191,64</w:t>
            </w:r>
          </w:p>
        </w:tc>
      </w:tr>
    </w:tbl>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p>
    <w:p w:rsidR="00A70969" w:rsidRPr="00A70969" w:rsidRDefault="00A70969" w:rsidP="00A70969">
      <w:pPr>
        <w:autoSpaceDE w:val="0"/>
        <w:autoSpaceDN w:val="0"/>
        <w:adjustRightInd w:val="0"/>
        <w:spacing w:before="57"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3.3. Улично-дорожная сеть и транспортное оборудование.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Для решения основных планировочных и градостроительных задач, увеличения пропускной способности улиц, развития инженерно-транспортной инфраструктуры в проекте намечается реконструкция и благоустройство с изменением поперечного профиля ул. Пороховой, строительство продолжения ул. Генерала Епишева с устройством дорожной одежды с усовершенствованным асфальтобетонным покрытием. Общая протяженность улично-дорожной сети составляет 1,30 км.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Улично-дорожную сеть планируемой территории составляют: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магистральная улица общегородского значения регулированного движения первого класса - ул. Боевая;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магистральная улица районного значения, транспортно-пешеходная - ул. Пороховая;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улица местного значения - пробивка улицы Генерала Епишева.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Ширина проезжей части улицы городского значения - 15,0 м, улиц районного значения - 7,0 м. Существующие покрытия улиц - в неудовлетворительном состоянии, поэтому проектом предусматриваются реконструкция улиц и благоустройство проездов с устройством дорожной одежды капитального типа с усовершенствованием асфальтобетонным покрытием.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В настоящее время движение общественного транспорта осуществляется по ул. Боевой. Проектом предусмотрена организация движения общественного транспорта по реконструируемым улицам.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3.4. Размещение объектов капитального строительства.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Проектом предусмотрен снос хаотично расположенных металлических гаражей вдоль проектируемой пробивки ул. Генерала Епишева. Расчетные показатели обеспеченности общей площадью жилых помещений на одного проживающего в многоквартирных секционных домах принимается 30 кв. 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Проектом предусмотрено размещение объектов капитального строительства местного назначения: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- 12-14-16-этажный жилой дом (по генплану № 7);</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многоэтажная стоянка (по генплану № 9);</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- 4-этажное административное здание (по генплану № 8).</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lastRenderedPageBreak/>
        <w:t>В проекте дано предложение по реконструкции здания детского сада (поз. № 5 по генплану) с размещением в данном объекте детского сада на 170 мест.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3.4.1. Проектное использование территории.</w:t>
      </w:r>
    </w:p>
    <w:tbl>
      <w:tblPr>
        <w:tblW w:w="0" w:type="auto"/>
        <w:tblInd w:w="28" w:type="dxa"/>
        <w:tblLayout w:type="fixed"/>
        <w:tblCellMar>
          <w:left w:w="0" w:type="dxa"/>
          <w:right w:w="0" w:type="dxa"/>
        </w:tblCellMar>
        <w:tblLook w:val="0000" w:firstRow="0" w:lastRow="0" w:firstColumn="0" w:lastColumn="0" w:noHBand="0" w:noVBand="0"/>
      </w:tblPr>
      <w:tblGrid>
        <w:gridCol w:w="239"/>
        <w:gridCol w:w="4959"/>
        <w:gridCol w:w="737"/>
        <w:gridCol w:w="784"/>
        <w:gridCol w:w="441"/>
      </w:tblGrid>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 </w:t>
            </w: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Наименование показателя</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Ед. изм.</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Площадь</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w:t>
            </w: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Площадь проектируемой территории, в т.ч.:</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10,2</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100</w:t>
            </w: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w:t>
            </w: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Территория многоэтажной застройки, из них:</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5,51</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54,0</w:t>
            </w: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территория многоэтажной застройки (существ.)</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5,13</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территория многоэтажной застройки (проектир.)</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0,38</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w:t>
            </w: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Территория объектов социального и бытового обслуживания, в т.ч.:</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1.17</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11,47</w:t>
            </w: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территория детского сада</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0,52</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территория учреждений и предприятий бытового обслуживания</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0,65</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w:t>
            </w: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Территория общего пользования (проезды, зеленые насаждения)</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0,7</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6,88</w:t>
            </w: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4.</w:t>
            </w: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Прочие территории (инженерные сооружения), в т.ч.:</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2,82</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27,65</w:t>
            </w: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территория ГУ «Астоблкиновидеопрокат»</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0,36</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территория существ. гаражей (по генплану № 30)</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0,96</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территория хлебозавода им. Лемисова </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1,44</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23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95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территория внутри микрорайонных инженерных сооружений</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7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0,06</w:t>
            </w:r>
          </w:p>
        </w:tc>
        <w:tc>
          <w:tcPr>
            <w:tcW w:w="44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bl>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p>
    <w:p w:rsidR="00A70969" w:rsidRPr="00A70969" w:rsidRDefault="00A70969" w:rsidP="00A70969">
      <w:pPr>
        <w:autoSpaceDE w:val="0"/>
        <w:autoSpaceDN w:val="0"/>
        <w:adjustRightInd w:val="0"/>
        <w:spacing w:before="57"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3.5. Межевание территории.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Рассматриваемый земельный участок площадью 10,2 га. Проект межевания территории осуществляется применительно к подлежащей застройке территории, расположенной в границах элементов планировочной структуры, установленной проектом планировки территории (в границах установленных красных линий).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 межевания территории разработан в соответствии с материалами генерального плана г. Астрахани с целью обоснования оптимальных размеров и границ земельных участков.</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Границы проектируемого земельного участка установлены в зависимости от функционального назначения территориальной зоны и обеспечения условий их эксплуатации, включая проезды, подходы к ним.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Проектом предусмотрено формирование 3 земельных участков для эксплуатации многоквартирных жилых домов по адресам: ул. Боевая, 66г, 72б, 72г. Границы застроенных земельных участков, имеющих кадастровые номера, при разработке плана межевания не рассматривались. Раздел межевания проектируемой территории выделен в отдельный том 2 ПМ-ОЧ.МТ-2.</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3.6. Инженерная подготовка.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3.6.1. Вертикальная планировка и организация поверхностного водоотвода.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Участок проектируемой территории находится в границах улиц Боевой, Пороховой, расположен на застроенной территории в Советском районе г. Астрахани. Площадь участка - 10,2 га.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Границами территории являются: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с севера - ул. Пороховая;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с востока - ул. Боевая;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с юга - квартал малоэтажной застройки;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с запада - квартал малоэтажной и многоэтажной застройки.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Анализ планируемой территории позволяет установить, что естественная поверхность имеет спокойный и равный рельеф, где абсолютные отметки колеблются от минус 21,60 м до минус 22,30 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Естественные уклоны по существующим улицам с асфальтобетонным покрытием соответствуют величинам от 0.002 до 0.0014. Сети ливневой канализации отсутствуют. Существующий поверхностный водоотвод осуществляется за счет продольных и поперечных уклонов, через разрывы в бортовом камне в зеленые зоны. Вертикальная планировка решена в увязке с существующими улицами Боевой и Пороховой, с учетом их реконструкции (предусмотрено расширение улицы).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3.6.2. Дорожные покрытия.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Существующие покрытия улиц, проездов - в неудовлетворительном состоянии, поэтому необходимо предусмотреть реконструкцию улиц и благоустройство новых проездов с устройством одежды капитального типа с усовершенствованным асфальтобетонным покрытием. Покрытия проездов оконтуриваются бетонными бортовыми камнями согласно ГОСТ 6665-91.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3.6.3. Мероприятия по инженерной защите территории от подтопления подземными водами.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3.6.3.1. Гидрогеологические условия района планировки.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Рассматриваемый участок площадью 10,2 га в створе улиц Боевой, Пороховой, 2-я Игарская и Южной по характеру и типу застройки относится к селитебной территории с мало- и среднеэтажным фондом (от 2 до 9 этажей). Объекты промышленности представлены цехом по производству мебели МПФ «RuDi» ИП Бакоева на территории бывшего хлебзавода № 5.</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 геоморфологическом отношении участок расположен в левобережной части р. Волги и приурочен к дельтовой полого-волнистой равнине с останками бэровских бугров современно-верхнечетвертичного возраста. Абсолютные отметки поверхности изменяются от минус 21,6 до минус 22,30 м (в межбугровых понижениях).</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Гидрографическая сеть района представлена р. Царев, протекающей в 440 м юго-западнее квартала. Зона интенсивного влияния водотока на режим подземных вод не превышает 100 метров.</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2"/>
          <w:w w:val="90"/>
          <w:sz w:val="17"/>
          <w:szCs w:val="17"/>
        </w:rPr>
      </w:pPr>
      <w:r w:rsidRPr="00A70969">
        <w:rPr>
          <w:rFonts w:ascii="Arial" w:hAnsi="Arial" w:cs="Arial"/>
          <w:color w:val="000000"/>
          <w:spacing w:val="2"/>
          <w:w w:val="90"/>
          <w:sz w:val="17"/>
          <w:szCs w:val="17"/>
        </w:rPr>
        <w:t>Влияние климатических условий на формирование и режим подземных вод района выражается в аридности. Район находится в зоне дефицита увлажнения: среднегодовое количество осадков по многолетним данным составляет 213 мм, возрастая в циклы повышенной увлажненности (связанные с подъемом Каспийского моря) до 246 мм. Максимум осадков приходится на июнь - 27 мм. При этом испаряемость в несколько раз превышает количество выпадающих осадков. Среднемноголетняя испаряемость в теплый период достигает 975 мм с водной поверхности.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lastRenderedPageBreak/>
        <w:t xml:space="preserve">Среднегодовая температура воздуха составляет 10 </w:t>
      </w:r>
      <w:r w:rsidRPr="00A70969">
        <w:rPr>
          <w:rFonts w:ascii="Arial" w:hAnsi="Arial" w:cs="Arial"/>
          <w:color w:val="000000"/>
          <w:spacing w:val="3"/>
          <w:w w:val="90"/>
          <w:sz w:val="17"/>
          <w:szCs w:val="17"/>
          <w:vertAlign w:val="superscript"/>
        </w:rPr>
        <w:t>0</w:t>
      </w:r>
      <w:r w:rsidRPr="00A70969">
        <w:rPr>
          <w:rFonts w:ascii="Arial" w:hAnsi="Arial" w:cs="Arial"/>
          <w:color w:val="000000"/>
          <w:spacing w:val="3"/>
          <w:w w:val="90"/>
          <w:sz w:val="17"/>
          <w:szCs w:val="17"/>
        </w:rPr>
        <w:t>С. Средняя высота снежного покрова составляет 1-4 см, максимальная - 75 см.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 геологическом строении до глубины 15 м принимают участие отложения четвертичной системы, представленные современными аллювиальными и ильменными (a-lIV), морскими хвалынскими (mIIIhv), среднечетвертичными и хазарскими (mIIhz) среднечетвертичными отложениями, перекрытыми повсеместно техногенными (tIV) образованиями. Насыпные суглинистые и супесчаные грунты с примесью щебня, гравия и строительного мусора (5-30 %) имеют мощность от 0,5 до 3,0 м. Аллювиальные и ильменные современные отложения представлены суглинками, песками и глинами. Суглинки серовато-коричневые и темно-серые, от мягко- до тугопластичных, с тонкими прослойками песка и супеси, общей мощностью от 0,9 до 3,5 м. Глины преимущественно ильменного происхождения, серые, мягкопластичные, с линзами водонасыщенного песка, илистые, мощностью 1,2-3,4 м. Пески тонкозернистые и пылеватые, серые, средней плотности и плотные, водонасыщеные общей мощностью от 0,2 до 3,0 м. Аллювиальные осадки подстилаются морскими хвалынскими отложениями, представленными песками желтовато-серыми и светло-серыми, пылеватыми, плотными, насыщенными водой, мощностью 4,5-8,1 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Хазарские отложения представлены глинами серыми, мягко- и тугопластичной консистенции, слоистыми. Абсолютные отметки кровли глин находятся в интервале минус 33,3-37,4 м. Небольшая по мощности толща глин (до 10-12 м) служит местным водоупором.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Характерной особенностью территории является развитие в кровле аллювиальных песков глинистых грунтов, выполняющих часто роль относительного водоупора для техногенной верховодки. Своеобразие геологических условий района имеет значительное влияние на характер его подтопления.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 гидрогеологическом отношении участок характеризуется повсеместным развитием в основном безнапорных подземных вод четвертичного аллювиально-хвалынского водоносного горизонта. Грунтовые воды вскрываются в интервале абсолютных отметок минус 24,67 - минус 23,12 м (по состоянию на летне-осеннюю межень).</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Литологический состав первого от поверхности водоносного горизонта аллювиальных и морских хвалынских отложений разнообразен. Верхняя толща представлена прослоями песков и супесей в суглинках и глинах, нижняя песками. Средневзвешенный коэффициент фильтрации толщи составляет 0,6 м/сут., водоотдачи - 0,07.</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По материалам режимных наблюдений ПГГЭ на городской сети, максимальная амплитуда сезонного подъема уровня составляет 0,32-0,55 м (скв. № 58 и 163, в районе перекрестка ул. Ген. Епишева и Б. Хмельницкого). В силу слабого влияния на питание подземных вод климатического фактора - вод атмосферного происхождения, определяющим фактором формирования и устойчивого положения верховодки является техногенный, включающий: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утечки из водонесущих коммуникаций застроенной территории;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полив зеленых насаждений;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отсутствие ливневой канализации;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застроенность района и частичная запечатанность твердым покрытием.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Все перечисленные составляющие привели к слиянию техногенной верховодки с зеркалом грунтовых вод.</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Минерализация подземных вод первого водоносного горизонта в пределах участка варьирует по площади и глубине: от 2,0-6,4 г/дкуб. м, возрастая с глубиной до 15,4 г/дкуб. м . По химическому составу воды варьируют от хлоридно-гидрокарбонатно-сульфатных и сульфатно-хлоридных натриевых и натриево-магниевых до хлоридно-сульфатных и хлоридных магниево-натриевых. Подземные воды с минерализацией более 5,0 г/дкуб. м  преимущественно агрессивны к бетонам и металлическим конструкциям согласно СНиП 2.03.11-85.</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Анализ гидрогеологических условий показывает зависимость первого от поверхности водоносного горизонта от влияния техногенного фактора. Естественный режим инфильтрационного сезонного питания сменился на техногенно-фильтрационный. Слой разделительных суглинков с мелкими супесчаными прослоями обуславливает скопление гравитационной воды на нем и затрудняет проникновению инфильтрата в пески. Литологическая особенность залегания грунтовых вод в песчаных прослоях среди связных суглинисто-глинистых грунтов сводит к минимуму фактор подземного испарения. Основное питание водоносный горизонт (аллювиальных и хвалынских песков) получают за счет утечек из подземных коммуникаций.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3.6.3.2. Прогноз уровня подземных вод по площадке методом моделирования.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Расчет прогнозного уровня произведен в программном комплексе GMS 6.5 с использованием модуля Modflow. Для построения гидрогеологической модели грунтового потока были использованы данные инженерно-геологического отчета и графическая карта участка работ 2GIS масштаба 1:2000. Моделирование прогнозного уровня производилось по площадке размером 450х650 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 базовый пакет модуля Modflow были внесены следующие параметры: тип режима (не стационарный), время, в течение которого производится изменение прогнозируемого уровня (74 сут.), занесены пакеты питания подземных вод, абсолютные отметки кровли и подошвы всех моделируемых слоев, меженные уровни по площадке: в северо-западной части участка минус 24,0-23,6 м, в северо-восточной - минус 23,93 м, в центральной - минус 23,17м, в южной - от минус 23,6 до минус 23,55 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В гидрогеологическом отношении пласт принят однослойным и неограниченным в плане со средневзвешенными фильтрационными параметрами. Инфильтрационное питание за счет утечек из водонесущих коммуникаций принято согласно «Рекомендациям по выбору исходных данных для модели прогноза процесса подтопления городских территорий» в количестве 7 куб. м/сут. на 1 га, или 0,0007 м/сут. Расчетные значения прогнозного уровня подземных вод получаем в виде карты гидроизогипс и 3D-модели (рис.1, 2). </w:t>
      </w:r>
    </w:p>
    <w:p w:rsidR="00A70969" w:rsidRPr="00A70969" w:rsidRDefault="00A70969" w:rsidP="00A70969">
      <w:pPr>
        <w:autoSpaceDE w:val="0"/>
        <w:autoSpaceDN w:val="0"/>
        <w:adjustRightInd w:val="0"/>
        <w:spacing w:after="0" w:line="180" w:lineRule="atLeast"/>
        <w:jc w:val="both"/>
        <w:textAlignment w:val="center"/>
        <w:rPr>
          <w:rFonts w:ascii="Arial" w:hAnsi="Arial" w:cs="Arial"/>
          <w:color w:val="000000"/>
          <w:spacing w:val="3"/>
          <w:sz w:val="17"/>
          <w:szCs w:val="17"/>
        </w:rPr>
      </w:pP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Рис. 1. Карта-схема прогноза гидрогеологических условий.</w:t>
      </w:r>
    </w:p>
    <w:p w:rsidR="00A70969" w:rsidRPr="00A70969" w:rsidRDefault="00A70969" w:rsidP="00A70969">
      <w:pPr>
        <w:autoSpaceDE w:val="0"/>
        <w:autoSpaceDN w:val="0"/>
        <w:adjustRightInd w:val="0"/>
        <w:spacing w:after="0" w:line="180" w:lineRule="atLeast"/>
        <w:jc w:val="both"/>
        <w:textAlignment w:val="center"/>
        <w:rPr>
          <w:rFonts w:ascii="Arial" w:hAnsi="Arial" w:cs="Arial"/>
          <w:color w:val="000000"/>
          <w:spacing w:val="3"/>
          <w:sz w:val="17"/>
          <w:szCs w:val="17"/>
        </w:rPr>
      </w:pP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Рис. 2. 3D-модель прогноза гидрогеологических условий.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Значения прогнозируемого уровня по площади планировки и межевания квартала соответствуют интервалу абсолютных отметок минус 23,4 - минус 22,9 м, достигая минус 23,15 м на большей части, что соответствует амплитудам сезонного колебания УГВ по данным стационарных режимных наблюдений на ближайших скважинах. Максимальное значение минус 23,1 м рекомендуется взять за расчетный прогнозный уровень.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Необходимость разработки специальных осушительных мероприятий (дренажа) определяется в соответствии с конструктивными решениями по заглублению ростверков фундаментов вновь проектируемых зданий и сооружений и планировочными отметками поверхности.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3.6.3.3. Обоснование мероприятий по инженерной защите территории от подтопления подземными водами.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lastRenderedPageBreak/>
        <w:t xml:space="preserve">Основными предполагаемыми источниками воздействия на систему подземных вод первого от поверхности водоносного горизонта являются: утечки из водонесущих и канализационных коммуникаций и сооружений; ливневые сточные воды с территории; снижение площади зоны питания при застройке и оборудовании прилегающего пространства дорожной одеждой; инфильтрация со стороны водотоков в периоды их максимального заполнения.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 сложившихся условиях на застроенной территории планировки и межевания, характеризующейся застойным инфильтрационным испарительным типом режима, с преобладанием вертикального водообмена над горизонтальным, приходная часть баланса подземных вод только частично компенсируется испарением.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Основными факторами, обусловливающими необходимость строительства дренажной системы, являются требования по соблюдению нормативных разрывов от прогнозного уровня подземных вод до планировочных отметок поверхности (2 м) и до ростверков фундаментов зданий и сооружений (до 0,5 м). Таким образом, от агрессивного воздействия со стороны подземных вод защищаются конструкции, прокладываемые инженерные сети, и нивелируются утечки из водонесущих коммуникаций.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Рассматриваемая территория в границах ул. Боевая, Пороховая, Южная и 2-я Игарская только частично вошла в состав запроектированной в 1994-1995 годах городской дренажной системы № 28. Для исключения негативных последствий подтопления территории, обеспечения требуемого понижения уровня подземных вод в слабопроницаемых грунтах организация специальных мероприятий по инженерной защите территории (дренажа) при наличии системы ливневой канализации и соблюдения нормативных площадей открытых поверхностей и зеленых зон, не требуется. Необходимо предусматривать усиленную гидроизоляцию конструктивных поверхностей фундамента.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3.7. Мероприятия по созданию доступной среды для инвалидов и других маломобильных групп.</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 планировки разработан в соответствии с требованиями Градострои­тельного кодекса РФ, СНиП 2.07.01-89* «Градостроительство. Планировка и за­стройка городских и сельских поселений», основных положений СНиП 35-01-2001 «Доступность зданий и сооружений для маломобильных групп населения» и СП 35-105-2002 «Реконструкция городской застройки с учетом доступности для инвалидов других маломобильных групп населения» в части, относящейся к созданию удобной для инвалидов среды на планируемой территории.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Проектные мероприятии по обеспечению доступности для инвалидов пла­нируемой среды направлены на улучшение условий отдыха, обслуживания, досуга инвалидов всех категорий, на обеспечение возможности их свободного доступа к объектам общественно-делового назначения. Основным принципом формирования безопасной и удобной для инвалидов среды является создание условий для обеспечения беспрепятственной доступности объектов обслуживания, зоны рекреации, а также в местах пользования транспортными коммуникациями, устройствами, пешеходными путями, обеспечения удобных и безопасных пересе­чений транспортных и пешеходных путей.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Территория жилой застройки и улично-дорожная сеть запланированы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Устройство пешеходных тротуаров должно обеспечивать проезд по ним ин­валидных колясок и передвижение инвалидов с недостатками зрения. Уклоны пешеходных дорожек, тротуаров по проекту не превышают 5% для продольного, 1% для поперечного в соответствии с п. 3.3 СНиП 35-01. В наземных переходах на пересечении улиц и тротуаров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устанавливать специальное ограждение.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w w:val="90"/>
          <w:sz w:val="17"/>
          <w:szCs w:val="17"/>
        </w:rPr>
      </w:pPr>
      <w:r w:rsidRPr="00A70969">
        <w:rPr>
          <w:rFonts w:ascii="Arial" w:hAnsi="Arial" w:cs="Arial"/>
          <w:color w:val="000000"/>
          <w:w w:val="90"/>
          <w:sz w:val="17"/>
          <w:szCs w:val="17"/>
        </w:rPr>
        <w:t>На открытых стоянках автомобилей около общественных зданий преду­смотрены места для личных автотранспортных средств инвалидов. Места для стоянки личных автотранспортных средств инвалидов должны быть выделены разметкой и обозначены специальными символами. Ширина стоянки для автомобиля инвалида должна быть не менее 3,5 м согласно п. 3.12 СНиП 35-01.</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Остановки общественного транспорта должны обеспечивать возможность по­садки-высадки пассажиров-инвалидов, пользующихся креслами-колясками. На остановках должна быть хорошо читаемая информация о маршрутах, выполненная укрупненным шрифтом и в контрастном цвете.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Специальные мероприятия по формированию доступной среды для инвалидов создают дополнительные удобства для всех категорий населения: беременных женщин, матерей с прогулочными колясками, людей старшего возраста с любой функциональной недостаточностью, травмами и др.</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 Инженерно-техническое обеспечение.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3.8.1. Система водоснабжения.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Раздел водоснабжения по объекту «Проект планировки и межевания территории в границах улиц Пороховая, Боевая, Моздокская в Советском районе г. Астрахани» разработан с учетом требований СНиП 2.04.02-84 «Водоснабжение. Наружные сети и сооружения», СНиП 2.04.01-85* «Внутренний водопровод и канализация зданий», справочного пособия к СНиП 2.08.02-89* «Общественные здания и сооружения», СП 10.13130.2009 «Внутренний противопожарный водопровод», СП 8.13130.2009 «Источники наружного противопожарного водоснабжения», СП 40-102-2000 «Проектирование и монтаж трубопроводов систем водоснабжения из полимерных материалов. Общие требования».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Качество воды, подаваемой на хоз.-питьевые нужды с существующего источника водоснабжения (ЛОСВ),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 настоящее время на существующей и проектируемой территории снабжение водой жилого массива осуществляется от городских сетей водопровода, входящих в систему водоснабжения левобережной части г. Астрахани. Источником водоснабжения являются Левобережные очистные сооружения водопровода (ЛОСВ).</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Водоснабжение существующего квартала жилой застройки осуществляется от существующей ПНС по ул. Боевой, 72а производительностью 0,96 тыс. куб. м/сут.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Проектом предполагается полное инженерное обеспечение проектируемых и перспективных объектов, в том числе водоснабжением и водоотведением в соответствии с техническими условиями МУП «Астрводоканал» № 08-04/675 от 24.01.2012 г.</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Водопотребление многоэтажного жилого дома предусматривается от проектируемых повысительных установок для хоз.-питьевых целей и станции пожаротушения, установленных внутри проектируемого здания; 4-этажного административного здания и многоярусного гаража-стоянки - от сети низкого давления с устройством ПНС-пожаротушения.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Общий объем воды, необходимый для водоснабжения объектов капитального строительства планируемой территории, складывается из следующих расходов:</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хозяйственно-питьевые нужды (с учетом горячего водоснабжения, т.к. уже с 1 января 2013 г. следует использовать закрытую схему, т.е. ИТП, при подключении горячего водоснабжения проектируемого жилого дома);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lastRenderedPageBreak/>
        <w:t>- пожаротушение внутреннее;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пожаротушение наружное;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полив зеленых насаждений (из цоколя здания).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Производительность ПНС многоэтажного проектируемого жилого дома составляет 11,72 куб. м/час., с учетом горячего водоснабжения.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Запитка ПНС многоэтажного жилого дома осуществляется двумя вводами с подключением к закольцованной сети наружного водопровода Ø400 по ул. Боевой. В случае отключения одного ввода водопровода нужды пожаротушения обеспечиваются вторым вводом водопроводом, рассчитанным на 100% пропуск воды.</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Гарантированный напор в точке подключения водопровода низкого давления - 2,0-2,2 кг/скв. м согласно техусловиям МУП г. Астрахани «Астрводоканал».</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Горячее водоснабжение проектируемого жилого дома предусматривается от проектируемого ИТП, расположенного в тепловом пункте жилого дома.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Внутреннее пожаротушение - 2 струи по 2,5 л/сек. (СП 10.13130.2009); наружное пожаротушение - 30,0 л/сек. (СП 8.13130.2009) подлежат уточнению в увязке с объемом и этажностью зданий и по согласованию с УГПС МЧС России. Суточный расход на хозяйственные нужды определяется в соответствии со СНиП 2.04.01-85*, приложение 3. Расход воды на полив зеленых насаждений принят в соответствии со СНиП 2.04.02-84* и составляет 4 л/кв. м  в сутки. Площадь озеленения - 361,85 кв. 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Суточный расход на полив зеленых насаждений - 1,45 куб. м/сутки.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Внутриплощадочные сети водопровода выполняются из труб полиэтиленовых ПЭ80 SDR13,6 «питьевая» ГОСТ 18599-2001*.</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При определении диаметров водопроводных сетей должен учитываться пропуск воды на хозяйственно-питьевые и противопожарные нужды. Сети кольцевые с устройством на них колодцев с запорной арматурой и пожарными гидрантами.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Под трубопроводы предусматривается искусственное основание. При пересечении дорог, трубы заключаются в стальной футляр. Обратная засыпка траншеи под дорогой производится песком с уплотнением.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Трубопроводы сети водовода подвергаются гидравлическому испытанию на давление 1,3 МПа рабочего и промывке с дезинфекцией. Колодцы на сети выполняются сборные железобетонные и бетонные по типовому проекту 901-09-11.84.</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Строительно-монтажные работы производить в строгом соответствии с требованиями СНиП 3.05.04-85* «Наружные сети и сооружения водоснабжения и канализации».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Жилая часть.</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На вводах водопровода в жилые дома и нежилые помещения предусмотрена установка водомерных узлов типа ВСХ. На обводных линиях устанавливается задвижка с электроприводом. В каждой квартире для учета потребляемой воды устанавливаются счетчики и пожарные бытовые краны Ø15 с резиновым шлангом и распылителем для первичного внутриквартирного пожаротушения. Горячее водоснабжение проектируемых жилых домов - от ИТП.</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Внутреннее пожаротушение зданий обеспечивается пожарными кранами Ø50 с диаметром спрыска ствола 16 мм и рукавами 20 м. Пожарные краны размещаются в пожарных шкафах.</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На последних этажах предусматривается подача горячей воды на приготовление обеззараживающего раствора для прочистного и дезинфицирующего устройства мусоропровода.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Отвод атмосферных осадков с кровли здания предусматривается через систему внутренних водостоков. Система внутренних водостоков и стояки запроектированы из труб стальных электросварных по ГОСТ 10704-91 и чугунных канализационных по ГОСТ 6942-98. Выпуск дождевых вод - на отмостку. В зимний период осуществляется перепуск ливневых вод в бытовую канализацию. Каждый выпуск оборудован гидрозатвором.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3.8.2. Система водоотведения.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Раздел водоотведения разработан с учетом требований СНиП 2.04.02-84 «Водоснабжение. Наружные сети и сооружения», СНиП 2.04.01-85* «Внутренний водопровод и канализация зданий», справочного пособия к СНиП 2.08.02-89* «Общественные здания и сооружения», СП40-102-2000 «Проектирование и монтаж трубопроводов систем водоснабжения из полимерных материалов. Общие требования».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Сброс хозяйственно-бытовых стоков от существующей, проектируемой и перспективной жилой застройки в настоящее время осуществляется и будет осуществляться в сети канализации, входящие в границы бассейна КНС-16 (Q=8,55 тыс. куб. м/сутки), с последующей перекачкой напорным коллектором на КНС-11 (Q=7,2 тыс. куб. м/сутки) и последующей перекачкой и очисткой на Южных очистных сооружениях канализации.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 границах проектируемого микрорайона проектом предполагается полное инженерное обеспечение по канализованию проектируемых объектов в соответствии с техническими условиями МУП «Астрводоканал». Наружная сеть канализации выполняется из полиэтиленовых труб ПЭ80 по ГОСТ18599-2001*. Под трубопроводы предусматривается искусственное основание. Смотровые колодцы на сети приняты сборные ж/бетонные по т.п. 902-09-22.84. Строительно-монтажные работы производить в строгом соответствии с требованиями СНиП 3.05.04-85* «Наружные сети и сооружения водоснабжения и канализации».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Жилая часть.</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Сточные воды от санитарно-технических приборов самотеком отводятся в проектируемую внутриплощадочную сеть канализации. Внутренние магистральные сети и стояки прокладываются из полиэтиленовых канализационных труб по ГОСТ 22689.0-89. От встроенных помещений отвод сточных вод предусматривается отдельным выпуском. Отвод атмосферных осадков с кровли здания предусматривается через систему внутренних водостоков. Система внутренних водостоков и стояки запроектированы из труб стальных электросварных по ГОСТ 10704-91 и чугунных канализационных по ГОСТ 6942-98. Выпуск дождевых вод - на отмостку. В зимний период осуществляется перепуск ливневых вод в бытовую канализацию. Каждый выпуск оборудован гидрозатвором. Для сбора аварийных вод в помещениях насосных станций и тепловых узлах предусматриваются дренажные приямки. Дренажные воды отводятся в систему канализации насосами, работающими в автоматическом режиме.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2"/>
          <w:w w:val="90"/>
          <w:sz w:val="17"/>
          <w:szCs w:val="17"/>
        </w:rPr>
      </w:pPr>
      <w:r w:rsidRPr="00A70969">
        <w:rPr>
          <w:rFonts w:ascii="Arial" w:hAnsi="Arial" w:cs="Arial"/>
          <w:color w:val="000000"/>
          <w:spacing w:val="2"/>
          <w:w w:val="90"/>
          <w:sz w:val="17"/>
          <w:szCs w:val="17"/>
        </w:rPr>
        <w:t>В мусоросборных камерах предусматривается водяная стринклерная система пожаротушения - спринклерами стандартного реагирования Ø12, устанавливаемыми на трубопроводе, подключаемом к системе хозяйственно-питьевого водопровода. Мусоросборные камеры обеспечиваются подводкой холодной и горячей воды, шлангом для санитарной обработки камеры. Для стока моющее-дезинфицирующих растворов предусмотрен трап Ø 100 мм. Для пожаротушения, прочистки, промывки и дезинфекции внутренней поверхности ствола системы мусороудаления предусматривается установка системы «ПРАНА» в соответствии с требованиями СП 31-108-2002.</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3.8.3. Расчет водопотребления и водоотведения существующей, проектируемой и перспективной застройки.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Водопотребление.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lastRenderedPageBreak/>
        <w:t>Количество жителей: существующая, проектируемая и перспективная застройка - 1279 квартир, 3837 человек (1279х3).</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К=3 - коэффициет семейности (по письму Астраханьстат от 2010 г.)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Расчетный суточный расход воды: Qсут.=Nж х qж/1000 куб. м/сутки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qж. - максимальное водопотребление q=300 л таблица 1 (250х1,2=300 л).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Qсут.=300 х3837:1000=1151,0 куб. м/сутки - с учетом горячего водоснабжения ж/дома.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Расчетные часовые расходы: qч.maх=Кч.maх х Qсут.maх Кч.maх=amaх х ßmaх</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q=(1,3х1,52х1151,0):24=94,8 куб. м/час.</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Расчет произведен по СНиП 2.04.02-84 «Водоснабжение. Наружные сети и сооружения».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Водоотведение: Q=1151,0 куб. м/сут.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3.8.4. Наружные инженерные сети поливочного водопровода.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Проект сетей водопровода для полива зеленых насаждений проектируемой и перспективной застройки, как предложение, разработан с учетом требований СНиП2.04.02-84 «Водоснабжение. Наружные сети и сооружения». Полив зеленых насаждений застройки осуществляется от проектируемого водозабора р. Царев и проектируемой насосной станции поливочного водопровода. Производительность насосной станции - ориентировочно 30,0 куб. м/час.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Площадь полива: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участки общего пользования - 30000,0 кв. 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проезды, площадки - 10000,0 кв. 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Всасывающая и частично напорная сеть поливочного водопровода выполняется из стальных электросварных труб ГОСТ10704-91*.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Разводящая сеть поливочного водопровода прокладывается из полиэтиленовых труб ПЭ80 SDR13,6 ГОСТ 18599-2001* на глубине от 0,5 м в зеленой зоне, до 1,0 м под дорогой от поверхности земли до верха трубы. На сети предусматриваются водопроводные колодцы сборные железобетонные по т.п. 901-09-11.84, в которых устанавливаются задвижки на ремонтный период и вентили для спуска воды на ремонтный и зимний период, после чего производится продувка компрессором. Стальные трубы покрываются весьма усиленной антикоррозийной изоляцией. Трубопроводы сети водопровода подвергаются гидравлическому испытанию и промывке без дезинфекции. Строительно-монтажные работы производить в строгом соответствии с требованиями СНиП 3.05.04-85* «Наружные сети и сооружения водоснабжения и канализации».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3.8.5. Расчет расхода воды для полива зеленых насаждений существующей, проектируемой и перспективной застройки.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Расчет произведен на основании СНиП 2.04.02-84 «Водоснабжение. Наружные сети и сооружения» (таблица № 3).</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2"/>
          <w:w w:val="90"/>
          <w:sz w:val="17"/>
          <w:szCs w:val="17"/>
        </w:rPr>
        <w:t>1. Зеленые насаждения общего пользования - 30000,0 кв. м, расход воды на полив - 4,0 л/кв. м</w:t>
      </w:r>
      <w:r w:rsidRPr="00A70969">
        <w:rPr>
          <w:rFonts w:ascii="Arial" w:hAnsi="Arial" w:cs="Arial"/>
          <w:color w:val="000000"/>
          <w:spacing w:val="3"/>
          <w:w w:val="90"/>
          <w:sz w:val="17"/>
          <w:szCs w:val="17"/>
        </w:rPr>
        <w:t xml:space="preserve">  </w:t>
      </w:r>
    </w:p>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4,0х30000,0:1000=120,0 куб. м/сутки.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2. Проезды, площадки - 10000,0 кв. м, расход воды на полив - 0,5 л/кв. м  0,5х10000,0:1000=5,0 куб. м/сутки. Полив принимаем 6 часов. Часовой расход воды для полива составит: (120,0+5,0) : 6=21,0 куб. м/час.</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3.8.6. Газоснабжение.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Существующий квартал, ограниченный улицами Боевой, Пороховой, запитан от действующих сетей газоснабжения низкого давления от действующего стационарного ГРП, расположенного внутри жилого квартала по ул. Боевой. В данном проекте проектируемый 12-16-этажный дом, 4-этажное административное здание, многоярусный гараж не используют газ на нужды пищеприготовления и отопления. Поэтому дополнительно сети газоснабжения не проектируются.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3.8.7. Электроснабжение.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3.8.7.1. Электроснабжение 6/ 0,4 кВ.</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Электрическая нагрузка объекта «Планировка и межевание территории в границах улиц Боевой, Пороховой в Советском районе г. Астрахани» составляет Р = 2234 кВт с учетом существующей нагрузки и проектируемой.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К проектируемым объектам относятся: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12-16-эт. ж/д с нежилым первым этажом (№ 7 по генплану), максимальная разрешенная мощность составляет 320 кВт;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4-эт. административное здание (№ 8 по генплану) - 150 кВт;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многоярусный гараж-стоянка (№ 9 по генплану) - 100 кВт.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Электроснабжение 0,4 кВ существующей застройки предусмотрено от существующих трансформаторных подстанций: ТП № 151 (1х250 кВА); ТП № 413 (1х630); ТП № 699 (2х400кВА); ТП № 437 (1х400кВА).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Электроснабжение 0,4 кВ проектируемых объектов предусмотрено:</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административное здание (№ 7 по генплану) в перспективе от ТП № 437;</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многоярусный гараж (№ 8 по генплану) от ТП № 151;</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ж/дома (№ 7 по генплану) от проектируемой встроенной трансформаторной подстанции с двумя трансформаторами мощностью 400 кВА каждый.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Трансформаторы приняты сухие типа ТСГЛ 6/0,4 кВ. Согласно техническим условиям № 2350 от 28.10.2009 г. и дополнительному соглашению № 1/20000-09-00018956-1 от 09.2011, выданным ОАО «МРСК-Юга» - «Астраханьэнерго», основным источником электроснабжения проектируемого жилого дома (№ 7 по генплану) является ПС 110/10-6 кВ «Царевская».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 сеть 6 кВ проектируемая встроенная ТП 6/0,4 кВ включается путем строительства двух кабельных линий (Л-1; Л-2) от разных секций шин РУ-6 кВ существующего РП-20. К прокладке принят кабель марки АпвПу2г-10 кВ сечением 3(1х240) кв. мм, проложенный в земле в траншее.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Пересечения с автодорогами по ул. Епишева, ул. Пороховой и ул. Пороховая «а» выполняются методом прокола. Защита кабелей при пересечении с автодорогами и подземными коммуникациями предусматривается полиэтиленовыми трубами диаметром 160 мм.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Согласно техническим условиям на электроснабжении предусматривается дооборудование РУ-6 кВ существующего РП-20 следующим оборудованием: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 двумя вводными камерами типа КСО 298 SE с вакуумными выключателями;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 двумя линейными камерами типа КСО 298 SE с вакуумными выключателями;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 двумя камерами типа КСО 298 SE с трансформаторами напряжения;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 двумя камерами типа КСО 298 SE с трансформаторами собственных нужд;</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 - камерой типа КСО 298 SE с панелью собственных нужд, (для обеспечения возможности секционирования и АВР).</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Вновь устанавливаемые ячейки оборудуются устройствами релейной защиты и автоматики, приборами учета электроэнергии и трансформаторами тока.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По требованию «Астраханьэнерго» проектом предусматривается демонтаж ТП № 413 и установка на ее месте блочной трансформаторной подстанции 2 БКТП с двумя трансформаторами по 630 кВА и перевод существующих нагрузок 0,4 кВ ТП </w:t>
      </w:r>
      <w:r w:rsidRPr="00A70969">
        <w:rPr>
          <w:rFonts w:ascii="Arial" w:hAnsi="Arial" w:cs="Arial"/>
          <w:color w:val="000000"/>
          <w:spacing w:val="3"/>
          <w:w w:val="90"/>
          <w:sz w:val="17"/>
          <w:szCs w:val="17"/>
        </w:rPr>
        <w:lastRenderedPageBreak/>
        <w:t>№ 413 на новую 2 БКТП. В сеть 6 кВ проектируемая 2БКТП включается согласно схеме (АКЭ) от ТП № 406; от ТП № 699; от ТП № 198А, путем подключения к существующим кабельным линиям 6 кВ.</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Подробнее внутриплощадочные сети электроснабжения 6; 0,4 кВ будут рассматриваться на последующих стадиях проектирования.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3.8.7.2. Наружное освещение.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Электроосвещение территории в границах улиц Боевой, Пороховой в Советском районе г. Астрахани выполнено консольными светильниками с натриевыми лампами, устанавливаемыми на железобетонных либо стальных опорах. Сети наружного освещения предусматриваются воздушными с применением самонесущих изолированных проводов (СИП-2А). Согласно техническим условиям МКП г. Астрахани «Горсвет» № 07-03/38 от 08.08.2011 для управления режимами освещения, автоматическим и дистанционным, а также контролем параметров электрической сети наружного освещения предусмотрена установка на фундаменте питающего пункта ПП «МИР-ПП-03Т» с коммутатором «МИР КАС-01» около существующей ТП № 699. Электроснабжение ПП «МИР-ПП-03Т» предусмотрено от РУ-0,4 кВ ТП № 699 по ранее действующей схеме, кабелем марки АВБбШв-1 кВ сечением 4х50 кв. мм.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На данной территории предусматривается замена существующих неизолированных проводов марки А-25 на самонесущий изолированный СИП-2А сечением 3х25 + 1х54,6. Также предусматривается замена существующих светильников РКУ на светильники ЖКУ-16. Освещение ведомственных территорий микрорайона выполняется венчающими светильниками на металлических опорах типа «Торшер» с подключением их к вводно-распределительным устройствам зданий и обеспечением местного освещения. Сети освещения выполняются кабельными, с прокладкой кабелей в траншеях.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3.8.8. Сети связи.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3.8.8.1. Наружные сети телефонизации.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Проектом предусмотрена организация в микрорайоне сетей телефонизации с использованием волоконно-оптических кабелей и установкой в жилых домах и общественных зданиях выносных концентраторов по технологии FTTB, при этом обеспечивается возможность получить абонентам и службам доступ:</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к ресурсам сети Интернет;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к высококачественной телефонной связи;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к просмотру спутниковых и эфирных каналов цифрового телевидения.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 xml:space="preserve">Для проектируемого ж/дома (№ 7 по генплану), согласно техническим условиям ЗАО «Астраханское цифровое телевидение» № 01/10/2011 от 11.10.2011, строительство одноканальной телефонной канализации с установкой колодцев марки ККС-2 малого типа предусматривается от существующей телефонной канализацией по ул. Боевой. Проектом предусматривается прокладка оптоволоконного кабеля марки ОКСТМ-10-01-0,22-8(2,7) в проектируемой канализации от муфты, расположенной в колодце по ул. Боевой, 72. Прокладка кабеля под дорогами предусматривается на глубине 1 метр в стальной трубе диаметром 300 мм.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3.8.8.2. Наружные сети радиофикации.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Радиофикация жилых домов, общественных зданий и сооружений микрорайона предусматривается строительством радиофидера 240 В проводом марки БСА-4,3 мм², по радиостойкам, устанавливаемым на кровле зданий. Сеть радиофикации предусматривает возможность использования ее для оповещения населения о чрезвычайных ситуациях.</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3.8.8.3. Наружные сети диспетчеризации лифтов.</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Диспетчеризация лифтов в жилых домах микрорайона осуществляется с целью передачи данных о состоянии лифтов по линиям связи на диспетчерский пункт. Прокладка линий связи предусматривается между машинными помещениями лифтов по чердакам жилых домов проводом П-274 М. Между домами сеть диспетчеризации выполняется воздушной линией, в случае большого перепада высот жилых домов провод прокладывается по отдельным стойкам.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3.9. Перечень мероприятий по гражданской обороне, предупреждению чрезвычайных ситуаций природного и техногенного характера.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3"/>
          <w:w w:val="90"/>
          <w:sz w:val="17"/>
          <w:szCs w:val="17"/>
        </w:rPr>
        <w:t>Основными задачами являются разработка комплекса организационно-технических мероприятий, направленных на обеспечение защиты территорий и населения от опасностей, возникающих при ведении военных действий или диверсиях, предупреждение ЧС техногенного и природного характера, уменьшение масштабов их последствий. Мероприятия по ГО и ЧС предназначены для информирования органов управления по делам гражданской обороны и чрезвычайным ситуациям при органах исполнительной власти субъектов Российской Федерации в целях организации ими контроля за соблюдением мер безопасности, оценки достаточности и эффективности мероприятий по предупреждению и ликвидации чрезвычайных ситуаций на потенциально опасных объектах, как для производственного персонала, так и населения.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3"/>
          <w:w w:val="90"/>
          <w:sz w:val="17"/>
          <w:szCs w:val="17"/>
        </w:rPr>
        <w:t>Основанием для разработки инже</w:t>
      </w:r>
      <w:r w:rsidRPr="00A70969">
        <w:rPr>
          <w:rFonts w:ascii="Arial" w:hAnsi="Arial" w:cs="Arial"/>
          <w:color w:val="000000"/>
          <w:spacing w:val="1"/>
          <w:w w:val="90"/>
          <w:sz w:val="17"/>
          <w:szCs w:val="17"/>
        </w:rPr>
        <w:t>нерно-технических мероприятий гражданской обороны и предупреждению чрезвычайных ситуаций (ИТМ ГОЧС) являются следующие нормативно-законодательные документы.</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Федеральный закон от 21.12.1994 № 68-ФЗ «О защите населения и территорий от чрезвычайных ситуаций природного и техногенного характера»;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Федеральный закон от 21.07.1997 № 116-ФЗ «О промышленной безопасности опасных производственных объектов»;</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Закон Астраханской области от 26.05.2000 № 22/2000-03 «О защите населения и территории Астраханской области от чрезвычайных ситуаций природного и техногенного характера»;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СНиП 11-01-95 «Инструкция о порядке разработки, согласования, утверждения и составе проектной документации на строительство предприятий, зданий и сооружений»;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СНиП 2.01.51-90 «Инженерно-технические мероприятия гражданской обороны»;</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СП 11-107-98 «Порядок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xml:space="preserve">Право на разработку ИТМ ГОЧС предоставлено лицензией (Е 043120 регистрационный номер ГС-3-34-02-26-0-3017001840-011414-1 от 20 марта 2008 г.), выданной Федеральным агентством по строительству и жилищно-коммунальному хозяйству.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Согласно постановлению Правительства РФ № 1115 от 19.09.1998 «О порядке отнесения организаций к категориям по гражданской обороне» и данным Главного управления МЧС России по Астраханской области № 10770-6-1-10 от 19.12.2011 проектируемый объект является некатегорируемым по гражданской обороне. По группе ГО - г. Астрахань (I группа); по категории ГО объекты отсутствуют.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По природно-административному положению объект находится в зонах:</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возможного катастрофического затопления;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возможного опасного радиоактивного заражения местности (загрязнения);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светомаскировки.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Сведения о наблюдаемых природных процессах в районе площадке строительства: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сильный ветер 25 м/с и более;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lastRenderedPageBreak/>
        <w:t>- сильная жара +41</w:t>
      </w:r>
      <w:r w:rsidRPr="00A70969">
        <w:rPr>
          <w:rFonts w:ascii="Arial" w:hAnsi="Arial" w:cs="Arial"/>
          <w:color w:val="000000"/>
          <w:spacing w:val="1"/>
          <w:w w:val="90"/>
          <w:sz w:val="17"/>
          <w:szCs w:val="17"/>
          <w:vertAlign w:val="superscript"/>
        </w:rPr>
        <w:t>о</w:t>
      </w:r>
      <w:r w:rsidRPr="00A70969">
        <w:rPr>
          <w:rFonts w:ascii="Arial" w:hAnsi="Arial" w:cs="Arial"/>
          <w:color w:val="000000"/>
          <w:spacing w:val="1"/>
          <w:w w:val="90"/>
          <w:sz w:val="17"/>
          <w:szCs w:val="17"/>
        </w:rPr>
        <w:t>С и выше;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сильный мороз -33</w:t>
      </w:r>
      <w:r w:rsidRPr="00A70969">
        <w:rPr>
          <w:rFonts w:ascii="Arial" w:hAnsi="Arial" w:cs="Arial"/>
          <w:color w:val="000000"/>
          <w:spacing w:val="1"/>
          <w:w w:val="90"/>
          <w:sz w:val="17"/>
          <w:szCs w:val="17"/>
          <w:vertAlign w:val="superscript"/>
        </w:rPr>
        <w:t>о</w:t>
      </w:r>
      <w:r w:rsidRPr="00A70969">
        <w:rPr>
          <w:rFonts w:ascii="Arial" w:hAnsi="Arial" w:cs="Arial"/>
          <w:color w:val="000000"/>
          <w:spacing w:val="1"/>
          <w:w w:val="90"/>
          <w:sz w:val="17"/>
          <w:szCs w:val="17"/>
        </w:rPr>
        <w:t>С и ниже.</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Дополнительные сведения об источниках ЧС на объектах строительства, которые необходимо учесть при проектировании: нарушения мер пожарной, газовой и электробезопасности.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xml:space="preserve">Существующие и проектируемые жилые и административные здания квартала планировки частично попадают в зону полного вероятного разрушения и поражения людей при аварии транспортируемых химически опасных веществ. В «особый период» и при угрозе возникновения крупных катастроф и стихийных бедствий (режим повышенной готовности гражданской обороны) жители микрорайона территориального планирования подлежат эвакуации. Сбор людей для эвакуации предусматривается по месту жительства. Адреса мест и времени сбора объявляются при проведении эвакуационных мероприятий жилищно-эксплуатационным органом (ЖЭО).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xml:space="preserve">Проектируемые объекты на территории планировки могут продолжать свою деятельность или прекращать ее по распоряжению полномочных органов и в другое место не перемещаются. Инженерные сети и сооружения на них являются стационарными и перемещению не подлежат. Необходимость прекращения деятельности объекта в особый период принимается руководством специализированной эксплуатирующей организацией по согласованию с органами военного командования данной территории.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xml:space="preserve">Объекты социального и культурно-бытового обслуживания населения в военное время прекращают свою деятельность, обслуживающий персонал и население эвакуируются в соответствии с планом эвакуации данного района. Штатная численность дежурного персонала в военное время принимается руководством эксплуатационной организации по согласованию с органами военного командования данной территории.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Оповещение требуется осуществлять в соответствии с совместным приказом МЧС России, Мин. информационных технологий и связи РФ, Мин. культуры и массовых коммуникаций РФ «Об утверждении Положения о системах оповещения населения» от 25.07.2006 № 422/90/376.</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Основным способом оповещения населения в особый период считается передача речевой информации с использованием государственных сетей проводного вещания, радиовещания и телевидения. Оповещение населения по сигналам ГО предусматривается через систему централизованного оповещения г. Астрахань. Для привлечения внимания при передаче речевой информации включают электросирены, что означает подачу предупредительного сигнала «Внимание всем». Доведение сигналов гражданской обороны осуществляется по всем каналам телевидения, радиовещания, по сетям радиотрансляции.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Безаварийная остановка технологического процесса на инженерных сетях осуществляется по решению руководства эксплуатирующей организации отключением напряжения, подачи газа, холодной и горячей воды. Существующие объекты инженерной инфраструктуры полностью укомплектованы системой комплексной безопасности и автоматизации. В повысительной насосной станции предусмотрены автоматическое управление и аварийная сигнализация. Газораспределительный пункт на сетях оборудован предохранительными клапанами и запорной арматурой.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Решения по безаварийной остановке технологических процессов предусматривают определение действий дежурно-диспетчерского персонала без нарушения целостности технологического оборудования, при экстренном прекращении электро-, газо- и водоснабжения. Безаварийная остановка работы трансформаторных подстанций осуществляется по решению специализированной организации отключением напряжения.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Стационарных систем контроля за радиационной и химической обстановкой на проектируемом объекте не предусматривается. Измерения производятся переносными приборами. Защита источников снабжения питьевой водой от радиоактивных отравляющих веществ должна обеспечиваться предприятиями водоснабжения г. Астрахани. Светомаскировочные мероприятия осуществляются электрическим и светотехническим способами. При объявлении сигнала «Воздушная тревога» отключение наружного и внутреннего освещения населенного пункта производится централизованно.</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Светомаскировочные мероприятия предусмотрены в двух режимах:</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частичного затемнения (ЧЗ) и полного затемнения (ПЗ).</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xml:space="preserve">Режим «ЧЗ» вводится особым постановлением на весь угрожаемый период и отменяется по миновании угрозы нападения противника.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Основное назначение режима частичного затемнения заключается в проведении подготовительных мероприятий, необходимых для введения режима полного затемнения (ПЗ). Световую маскировку населенных пунктов осуществляют электрическим, светотехническим и механическими способами.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В режиме «ЧЗ» предусматривается: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снижение уровней наружного освещения улиц и дорог в населенном пункте с нормируемыми значениями в обычном режиме 0,4 кд/кв. м  или средней освещенности 4 лк путем отключения половины светильников, при этом не допускается отключение двух рядом расположенных светильников;</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освещенность помещений в жилых и административных зданиях квартала при освещении лампами накаливания снижается от 300 до уровня 75 лк;</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места проведения неотложных наружных и аварийно-спасательных работ должны иметь освещенность 1-20 лк.</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Отключение наружных светильников, установленных над входами в здания, снижение освещенности служебно-хозяйственных, пожарных проездов со средней освещенностью 2 лк и ниже не производится.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Время проведения мероприятий «ЧЗ» - не более 2 часов. Режим полного затемнения (ПЗ) вводится по сигналу «Воздушная тревога!».</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В режиме полного затемнения предусматривается: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отключение наружного освещения;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в зданиях, в которых не предусмотрено пребывание людей в темное время суток, применяется электрический способ маскировки - отключение освещения;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световые знаки мирного времени отключаются;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в местах проведения неотложных аварийно-спасательных и восстановительных работ, а также на опасных участках эвакуации людей должно быть предусмотрено маскировочное стационарное или автономное освещение с помощью переносных осветительных фонарей и светильников. Создаваемая светильниками освещенность поверхности не должна превышать 0,2 лк, при этом весь световой поток светильников должен быть направлен в нижнюю полусферу, светильники должны иметь защитный угол не менее 150 и жесткое крепление, исключающее возможность изменения их положения под воздействием ветра со скоростью до 40 м/с. Светильники следует размещать так, чтобы их световой поток не падал на стены строений и другие вертикальные поверхности;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lastRenderedPageBreak/>
        <w:t>- на территории жилого квартала для информации и обозначения въездов, углов зданий, выходов, ориентиров для проходов и габаритов транспортных средств следует применить световые знаки и дополнительные белые или световозвращающие или светящиеся краски;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xml:space="preserve">- управление наружным освещением территории района предусмотрено централизованным из диспетчерского пункта.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Время выполнения мероприятий «ПЗ» не должно превышать 3 минут.</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xml:space="preserve">Включение освещения в режиме «ЧЗ» производится по сигналу «Отбой воздушной тревоги». Конкретизация действий и мер по режиму светомаскировки должна осуществляться непосредственно на объекте. Для проектируемого объекта не предусмотрено строительство зданий и сооружений, подлежащих маскировке внутреннего освещения.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На объекте планировки и межевания являются опасными и могут привести к возникновению чрезвычайных ситуаций (взрыву и пожару) сети газо- и электроснабжения, трансформаторные подстанции. Аварии при разгерметизации наружного газопровода сопровождаются истечением газа до закрытия отсекающей арматуры и истечением газа из участка трубопровода, отсеченного арматурой. Наибольшую опасность представляет угроза возникновения чрезвычайной ситуации, связанной с пожарами и авариями на системе газоснабжения.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Наибольшая вероятность аварии возможна в месте выхода газопровода среднего давления на поверхность до газораспределительного шкафа ГРПШ. Авария может быть вызвана либо разгерметизацией газопровода, либо факторами чрезвычайного характера (природные катаклизмы, террористические акты и т.п.). В числе наиболее вероятных сценариев аварийных ситуаций рассматривается возгорание газовоздушной смеси природного газа. Радиус возможной зоны возгорания при аварии на газопроводе ориентировочно составит 24 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Самым вероятным сценарием аварийной ситуации при транспортировке химически опасных веществ по внутригородским дорогам общего пользования является взрыв автоцистерны с бензином. При этом радиус зоны полного разрушения зданий составил 131 м, а радиус зоны смертельного поражения людей - 65 м.</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Наиболее вероятным сценарием аварии на электросетях является короткое замыкание электропроводки без возникновения пожара. Короткое замыкание электрической проводки возможно при эксплуатации технически неисправных электроприборов, перегрузки единичного участка электрической цепи, обрыве проводов (вследствие разрушения опоры, стихийных бедствий). При правильном обслуживании и эксплуатации электропроводки произойдет выключение аварийных автоматических выключателей, выход из строя плавких вставок, рассчитанных на различную величину силы тока. Возможный ущерб при таком варианте развития событий составит стоимость выгоревших плавких вставок и стоимости работ по их замене. Границы распространения аварийной ситуации не выходят за пределы охранной зоны высоковольтных линий. Максимальным по тяжести последствий сценарием аварии является короткое замыкание электрической проводки с возникновением пожара. Короткое замыкание электрической проводки при эксплуатации технически неисправных электрических приборов, перегрузки единичного участка электрической цепи, обрыве проводов (вследствие разрушения опоры, стихийных бедствий) может привести к возникновению пожара и распространению его в случае нарушения правил эксплуатации и обслуживания электрического оборудования и установок и правил пожарной безопасности.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xml:space="preserve">В случае возникновения пожара на электросети и в блочной трансформаторной подстанции возможен выход из строя электропроводки участка цепи вследствие расплавления изолирующих материалов проводов и их последующего воспламенения. Границы распространения аварийной ситуации в трансформаторной подстанции не выходят за пределы помещения (железобетонного кожуха), в котором произошло возгорание.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Беспрепятственный ввод и продвижение к проектируемым сетям сил и средств ликвидации последствии аварии обусловлен:</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своевременным оповещением сил ликвидации последствий ЧС;</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размещением сетей в непосредственной близости от проезжей части, позволяющей своевременное прибытие и развертывание сил;</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наличием пожарных гидрантов в непосредственной близости от объекта, что позволяет производить тушение пожара средствами передвижной пожарной техникой и сократить до минимума время ее дозаправки.</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xml:space="preserve">Движение автотранспорта с пожарной и другой специальной техникой для проведения аварийно-спасательных и неотложных работ при чрезвычайной ситуации предусмотрено по существующим и проектируемым дорогам.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xml:space="preserve">Инженерные сети, повысительная насосная станция водопровода (ПНС), газораспределительный пункт (ГРПШ), трансформаторные подстанции не подлежат постоянному обслуживанию производственным персоналом. При возникновении чрезвычайной ситуации на проектируемых сетях работники специализированных организаций по их эксплуатации в зоне действия поражающих факторов не окажутся. Возможно нахождение на трассе 0,4 кВ линейных обходчиков в количестве 2 человек и аварийной бригады до 3 человек в зданиях ПНС.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При проектировании новых объектов предусмотрены следующие решения, позволяющие локализовать выбросы опасных веществ и предупредить развитие аварий: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осуществление специальных видов контроля при монтаже и ремонте оборудования;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специальные виды испытания оборудования, трубопроводов и системы на плотность и прочность;</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герметизация неподвижных соединений уплотнителями и прокладками, стойкими к химическому и термическому воздействию;</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повышенный запас прочности сооружений;</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автоматический контроль параметров газа и теплоносителя.</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1"/>
          <w:w w:val="90"/>
          <w:sz w:val="17"/>
          <w:szCs w:val="17"/>
        </w:rPr>
      </w:pPr>
      <w:r w:rsidRPr="00A70969">
        <w:rPr>
          <w:rFonts w:ascii="Arial" w:hAnsi="Arial" w:cs="Arial"/>
          <w:color w:val="000000"/>
          <w:spacing w:val="1"/>
          <w:w w:val="90"/>
          <w:sz w:val="17"/>
          <w:szCs w:val="17"/>
        </w:rPr>
        <w:t xml:space="preserve">Наружное пожаротушение проектируемых объектов предусматривается от проектируемых пожарных гидрантов, устанавливаемых на сети водоснабжения в соответствии с требованиями СНиП 2.04.2-84* «Водоснабжение. Наружные сети и сооружения». Расход воды на наружное пожаротушение принимается не менее 15-20 л/сек. </w:t>
      </w:r>
    </w:p>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r w:rsidRPr="00A70969">
        <w:rPr>
          <w:rFonts w:ascii="Arial" w:hAnsi="Arial" w:cs="Arial"/>
          <w:color w:val="000000"/>
          <w:spacing w:val="1"/>
          <w:w w:val="90"/>
          <w:sz w:val="17"/>
          <w:szCs w:val="17"/>
        </w:rPr>
        <w:t>3.10. Технико-экономичес</w:t>
      </w:r>
      <w:r w:rsidRPr="00A70969">
        <w:rPr>
          <w:rFonts w:ascii="Arial" w:hAnsi="Arial" w:cs="Arial"/>
          <w:color w:val="000000"/>
          <w:spacing w:val="3"/>
          <w:w w:val="90"/>
          <w:sz w:val="17"/>
          <w:szCs w:val="17"/>
        </w:rPr>
        <w:t>кие показатели проектируемой территории.</w:t>
      </w:r>
    </w:p>
    <w:tbl>
      <w:tblPr>
        <w:tblW w:w="0" w:type="auto"/>
        <w:tblInd w:w="28" w:type="dxa"/>
        <w:tblLayout w:type="fixed"/>
        <w:tblCellMar>
          <w:left w:w="0" w:type="dxa"/>
          <w:right w:w="0" w:type="dxa"/>
        </w:tblCellMar>
        <w:tblLook w:val="0000" w:firstRow="0" w:lastRow="0" w:firstColumn="0" w:lastColumn="0" w:noHBand="0" w:noVBand="0"/>
      </w:tblPr>
      <w:tblGrid>
        <w:gridCol w:w="498"/>
        <w:gridCol w:w="4042"/>
        <w:gridCol w:w="808"/>
        <w:gridCol w:w="976"/>
        <w:gridCol w:w="796"/>
      </w:tblGrid>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п/п</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Наименование показателей</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Ед. изм.</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Современное состояние, 2013</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Расчетный срок</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Территория</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1.1.</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Площадь планируемого микрорайона, в т.ч.:</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10,2</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жилая зона</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7,0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7,38</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объекты соц. культ.-быт. обслуживания</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га</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1,17</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1,17</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Население</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lastRenderedPageBreak/>
              <w:t>2.1.</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Численность населения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тыс. чел.</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3,04</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3,45</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2.2.</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Плотность населения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чел./га</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435</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467</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Жилищный фонд</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3.1.</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Общая площадь жилых домов</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кв. м </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56790,8</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69340,2</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3.2.</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Средняя этажность застройки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этаж</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5-9</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5-16</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3.3.</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Существующий сохраняемый жилищный фонд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кв. м </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56680,0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55941,0</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3.4.</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Убыль жилищного фонда</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кв. м </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110,8</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3.5.</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Новое жилищное строительство, в т.ч.:</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кв. м </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12-14-16-эт. ж/д (по генплану № 7 )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кв. м </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12657,20</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4.</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Плотность жилого фонда</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кв. м/га</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8112</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9395</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Объекты соц. культ.-быт. обслуживания</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5.1.</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*Детские дошкольные учреждения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мест</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280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310</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5.2.</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Общеобразовательные школы</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мест</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5.3.</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Поликлиника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объектов</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w:t>
            </w:r>
          </w:p>
        </w:tc>
      </w:tr>
      <w:tr w:rsidR="00A70969" w:rsidRPr="00A70969" w:rsidTr="00501745">
        <w:tblPrEx>
          <w:tblCellMar>
            <w:top w:w="0" w:type="dxa"/>
            <w:left w:w="0" w:type="dxa"/>
            <w:bottom w:w="0" w:type="dxa"/>
            <w:right w:w="0" w:type="dxa"/>
          </w:tblCellMar>
        </w:tblPrEx>
        <w:trPr>
          <w:trHeight w:val="180"/>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5.4.</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Аптека</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объектов</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4</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5.5.</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Предприятия розничной торговли</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кв. м  </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900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1850</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непродовольственных товаров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кв. м  </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400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850</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продовольственных товаров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кв. м  </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500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1000</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5.6.</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Предприятия бытового обслуживания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объектов</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25</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5.7.</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Объекты общественного питания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мест</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150</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5.8.</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Организации и учреждения управления, кредитно-финансовые учреждения и предприятия связи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p>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объектов</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p>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p>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4</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6.</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Транспортная инфраструктура</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6.1.</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Протяженность улично-дорожной сети</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м</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730,0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730,0</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в т.ч.: магистральные улицы</w:t>
            </w:r>
          </w:p>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общегородского значения</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p>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м</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p>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500,0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p>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500,0</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районного значения</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м</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230,0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230,0</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6.2.</w:t>
            </w: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 xml:space="preserve">Гаражи и стоянки для хранения легковых автомобилей </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маш./мест</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280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464</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в т.ч.: пост. хранения</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маш./мест</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160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120</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существующие</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маш./мест</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20</w:t>
            </w: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проектируемые</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маш./мест</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304</w:t>
            </w:r>
          </w:p>
        </w:tc>
      </w:tr>
      <w:tr w:rsidR="00A70969" w:rsidRPr="00A70969" w:rsidTr="00501745">
        <w:tblPrEx>
          <w:tblCellMar>
            <w:top w:w="0" w:type="dxa"/>
            <w:left w:w="0" w:type="dxa"/>
            <w:bottom w:w="0" w:type="dxa"/>
            <w:right w:w="0" w:type="dxa"/>
          </w:tblCellMar>
        </w:tblPrEx>
        <w:trPr>
          <w:trHeight w:val="113"/>
        </w:trPr>
        <w:tc>
          <w:tcPr>
            <w:tcW w:w="4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404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временного хранения</w:t>
            </w:r>
          </w:p>
        </w:tc>
        <w:tc>
          <w:tcPr>
            <w:tcW w:w="8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маш./мест</w:t>
            </w:r>
          </w:p>
        </w:tc>
        <w:tc>
          <w:tcPr>
            <w:tcW w:w="97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240" w:lineRule="auto"/>
              <w:rPr>
                <w:rFonts w:ascii="Arial" w:hAnsi="Arial" w:cs="Arial"/>
                <w:sz w:val="24"/>
                <w:szCs w:val="24"/>
              </w:rPr>
            </w:pPr>
          </w:p>
        </w:tc>
        <w:tc>
          <w:tcPr>
            <w:tcW w:w="79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A70969" w:rsidRPr="00A70969" w:rsidRDefault="00A70969" w:rsidP="00A70969">
            <w:pPr>
              <w:autoSpaceDE w:val="0"/>
              <w:autoSpaceDN w:val="0"/>
              <w:adjustRightInd w:val="0"/>
              <w:spacing w:after="0" w:line="170" w:lineRule="atLeast"/>
              <w:jc w:val="both"/>
              <w:textAlignment w:val="center"/>
              <w:rPr>
                <w:rFonts w:ascii="Arial" w:hAnsi="Arial" w:cs="Arial"/>
                <w:color w:val="000000"/>
                <w:w w:val="90"/>
                <w:sz w:val="17"/>
                <w:szCs w:val="17"/>
              </w:rPr>
            </w:pPr>
            <w:r w:rsidRPr="00A70969">
              <w:rPr>
                <w:rFonts w:ascii="Arial" w:hAnsi="Arial" w:cs="Arial"/>
                <w:color w:val="000000"/>
                <w:w w:val="90"/>
                <w:sz w:val="17"/>
                <w:szCs w:val="17"/>
              </w:rPr>
              <w:t>40</w:t>
            </w:r>
          </w:p>
        </w:tc>
      </w:tr>
    </w:tbl>
    <w:p w:rsidR="00A70969" w:rsidRPr="00A70969" w:rsidRDefault="00A70969" w:rsidP="00A70969">
      <w:pPr>
        <w:autoSpaceDE w:val="0"/>
        <w:autoSpaceDN w:val="0"/>
        <w:adjustRightInd w:val="0"/>
        <w:spacing w:after="0" w:line="170" w:lineRule="atLeast"/>
        <w:ind w:firstLine="227"/>
        <w:jc w:val="both"/>
        <w:textAlignment w:val="center"/>
        <w:rPr>
          <w:rFonts w:ascii="Arial" w:hAnsi="Arial" w:cs="Arial"/>
          <w:color w:val="000000"/>
          <w:spacing w:val="3"/>
          <w:w w:val="90"/>
          <w:sz w:val="17"/>
          <w:szCs w:val="17"/>
        </w:rPr>
      </w:pPr>
    </w:p>
    <w:p w:rsidR="00A70969" w:rsidRPr="00A70969" w:rsidRDefault="00A70969" w:rsidP="00A70969">
      <w:pPr>
        <w:autoSpaceDE w:val="0"/>
        <w:autoSpaceDN w:val="0"/>
        <w:adjustRightInd w:val="0"/>
        <w:spacing w:before="57" w:after="0" w:line="170" w:lineRule="atLeast"/>
        <w:jc w:val="both"/>
        <w:textAlignment w:val="center"/>
        <w:rPr>
          <w:rFonts w:ascii="Arial" w:hAnsi="Arial" w:cs="Arial"/>
          <w:i/>
          <w:iCs/>
          <w:color w:val="000000"/>
          <w:spacing w:val="3"/>
          <w:w w:val="90"/>
          <w:sz w:val="16"/>
          <w:szCs w:val="16"/>
        </w:rPr>
      </w:pPr>
      <w:r w:rsidRPr="00A70969">
        <w:rPr>
          <w:rFonts w:ascii="Arial" w:hAnsi="Arial" w:cs="Arial"/>
          <w:i/>
          <w:iCs/>
          <w:color w:val="000000"/>
          <w:spacing w:val="3"/>
          <w:w w:val="90"/>
          <w:sz w:val="16"/>
          <w:szCs w:val="16"/>
        </w:rPr>
        <w:t>*Для проектируемого микрорайона расчетное количество детей дошкольного возраста, посещающих детский сад, - 188 чел.</w:t>
      </w:r>
    </w:p>
    <w:p w:rsidR="00A70969" w:rsidRPr="00A70969" w:rsidRDefault="00A70969" w:rsidP="00A70969">
      <w:pPr>
        <w:autoSpaceDE w:val="0"/>
        <w:autoSpaceDN w:val="0"/>
        <w:adjustRightInd w:val="0"/>
        <w:spacing w:after="0" w:line="170" w:lineRule="atLeast"/>
        <w:jc w:val="both"/>
        <w:textAlignment w:val="center"/>
        <w:rPr>
          <w:rFonts w:ascii="Arial" w:hAnsi="Arial" w:cs="Arial"/>
          <w:i/>
          <w:iCs/>
          <w:color w:val="000000"/>
          <w:spacing w:val="3"/>
          <w:w w:val="90"/>
          <w:sz w:val="16"/>
          <w:szCs w:val="16"/>
        </w:rPr>
      </w:pPr>
      <w:r w:rsidRPr="00A70969">
        <w:rPr>
          <w:rFonts w:ascii="Arial" w:hAnsi="Arial" w:cs="Arial"/>
          <w:i/>
          <w:iCs/>
          <w:color w:val="000000"/>
          <w:spacing w:val="3"/>
          <w:w w:val="90"/>
          <w:sz w:val="16"/>
          <w:szCs w:val="16"/>
        </w:rPr>
        <w:t>**Расчетное количество детей школьного возраста - 333 чел.,</w:t>
      </w:r>
    </w:p>
    <w:p w:rsidR="00A70969" w:rsidRPr="00A70969" w:rsidRDefault="00A70969" w:rsidP="00A70969">
      <w:pPr>
        <w:autoSpaceDE w:val="0"/>
        <w:autoSpaceDN w:val="0"/>
        <w:adjustRightInd w:val="0"/>
        <w:spacing w:after="0" w:line="170" w:lineRule="atLeast"/>
        <w:jc w:val="both"/>
        <w:textAlignment w:val="center"/>
        <w:rPr>
          <w:rFonts w:ascii="Arial" w:hAnsi="Arial" w:cs="Arial"/>
          <w:i/>
          <w:iCs/>
          <w:color w:val="000000"/>
          <w:spacing w:val="3"/>
          <w:w w:val="90"/>
          <w:sz w:val="16"/>
          <w:szCs w:val="16"/>
        </w:rPr>
      </w:pPr>
      <w:r w:rsidRPr="00A70969">
        <w:rPr>
          <w:rFonts w:ascii="Arial" w:hAnsi="Arial" w:cs="Arial"/>
          <w:i/>
          <w:iCs/>
          <w:color w:val="000000"/>
          <w:spacing w:val="3"/>
          <w:w w:val="90"/>
          <w:sz w:val="16"/>
          <w:szCs w:val="16"/>
        </w:rPr>
        <w:t xml:space="preserve">в т.ч. в возрасте 7-14 лет — 247 чел., в возрасте 15-17 лет - 86 чел. </w:t>
      </w:r>
    </w:p>
    <w:p w:rsidR="00A70969" w:rsidRPr="00A70969" w:rsidRDefault="00A70969" w:rsidP="00A70969">
      <w:pPr>
        <w:autoSpaceDE w:val="0"/>
        <w:autoSpaceDN w:val="0"/>
        <w:adjustRightInd w:val="0"/>
        <w:spacing w:after="0" w:line="180" w:lineRule="atLeast"/>
        <w:ind w:firstLine="227"/>
        <w:jc w:val="both"/>
        <w:textAlignment w:val="center"/>
        <w:rPr>
          <w:rFonts w:ascii="Arial" w:hAnsi="Arial" w:cs="Arial"/>
          <w:color w:val="000000"/>
          <w:spacing w:val="3"/>
          <w:sz w:val="17"/>
          <w:szCs w:val="17"/>
        </w:rPr>
      </w:pPr>
      <w:r w:rsidRPr="00A70969">
        <w:rPr>
          <w:rFonts w:ascii="Arial" w:hAnsi="Arial" w:cs="Arial"/>
          <w:color w:val="000000"/>
          <w:spacing w:val="3"/>
          <w:sz w:val="17"/>
          <w:szCs w:val="17"/>
        </w:rPr>
        <w:t xml:space="preserve">Общеобразовательные школы № 1, 37 находятся в доступном радиусе обслуживания - 200-250 м. </w:t>
      </w:r>
    </w:p>
    <w:p w:rsidR="0075454E" w:rsidRPr="00380876" w:rsidRDefault="0075454E" w:rsidP="00380876">
      <w:bookmarkStart w:id="0" w:name="_GoBack"/>
      <w:bookmarkEnd w:id="0"/>
    </w:p>
    <w:sectPr w:rsidR="0075454E" w:rsidRPr="003808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F06"/>
    <w:rsid w:val="00380876"/>
    <w:rsid w:val="00430F06"/>
    <w:rsid w:val="0075454E"/>
    <w:rsid w:val="00887A73"/>
    <w:rsid w:val="00A70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A73"/>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887A73"/>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основной текст"/>
    <w:basedOn w:val="a3"/>
    <w:uiPriority w:val="99"/>
    <w:rsid w:val="00887A73"/>
    <w:pPr>
      <w:spacing w:line="190" w:lineRule="atLeast"/>
      <w:ind w:firstLine="227"/>
      <w:jc w:val="both"/>
    </w:pPr>
    <w:rPr>
      <w:rFonts w:ascii="Arial" w:hAnsi="Arial" w:cs="Arial"/>
      <w:spacing w:val="4"/>
      <w:sz w:val="18"/>
      <w:szCs w:val="18"/>
    </w:rPr>
  </w:style>
  <w:style w:type="paragraph" w:customStyle="1" w:styleId="3">
    <w:name w:val="основной текст3"/>
    <w:basedOn w:val="a3"/>
    <w:uiPriority w:val="99"/>
    <w:rsid w:val="00887A73"/>
    <w:pPr>
      <w:spacing w:line="190" w:lineRule="atLeast"/>
      <w:jc w:val="center"/>
    </w:pPr>
    <w:rPr>
      <w:rFonts w:ascii="Arial" w:hAnsi="Arial" w:cs="Arial"/>
      <w:b/>
      <w:bCs/>
      <w:spacing w:val="4"/>
      <w:w w:val="95"/>
      <w:sz w:val="18"/>
      <w:szCs w:val="18"/>
    </w:rPr>
  </w:style>
  <w:style w:type="paragraph" w:customStyle="1" w:styleId="a5">
    <w:name w:val="Таблица"/>
    <w:basedOn w:val="a3"/>
    <w:uiPriority w:val="99"/>
    <w:rsid w:val="00887A73"/>
    <w:pPr>
      <w:spacing w:line="180" w:lineRule="atLeast"/>
      <w:jc w:val="both"/>
    </w:pPr>
    <w:rPr>
      <w:rFonts w:ascii="Arial" w:hAnsi="Arial" w:cs="Arial"/>
      <w:w w:val="90"/>
      <w:sz w:val="17"/>
      <w:szCs w:val="17"/>
    </w:rPr>
  </w:style>
  <w:style w:type="paragraph" w:customStyle="1" w:styleId="a6">
    <w:name w:val="подстрочник"/>
    <w:basedOn w:val="a3"/>
    <w:uiPriority w:val="99"/>
    <w:rsid w:val="00887A73"/>
    <w:pPr>
      <w:spacing w:line="170" w:lineRule="atLeast"/>
      <w:jc w:val="center"/>
    </w:pPr>
    <w:rPr>
      <w:rFonts w:ascii="Arial" w:hAnsi="Arial" w:cs="Arial"/>
      <w:i/>
      <w:iCs/>
      <w:spacing w:val="3"/>
      <w:w w:val="9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A73"/>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887A73"/>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основной текст"/>
    <w:basedOn w:val="a3"/>
    <w:uiPriority w:val="99"/>
    <w:rsid w:val="00887A73"/>
    <w:pPr>
      <w:spacing w:line="190" w:lineRule="atLeast"/>
      <w:ind w:firstLine="227"/>
      <w:jc w:val="both"/>
    </w:pPr>
    <w:rPr>
      <w:rFonts w:ascii="Arial" w:hAnsi="Arial" w:cs="Arial"/>
      <w:spacing w:val="4"/>
      <w:sz w:val="18"/>
      <w:szCs w:val="18"/>
    </w:rPr>
  </w:style>
  <w:style w:type="paragraph" w:customStyle="1" w:styleId="3">
    <w:name w:val="основной текст3"/>
    <w:basedOn w:val="a3"/>
    <w:uiPriority w:val="99"/>
    <w:rsid w:val="00887A73"/>
    <w:pPr>
      <w:spacing w:line="190" w:lineRule="atLeast"/>
      <w:jc w:val="center"/>
    </w:pPr>
    <w:rPr>
      <w:rFonts w:ascii="Arial" w:hAnsi="Arial" w:cs="Arial"/>
      <w:b/>
      <w:bCs/>
      <w:spacing w:val="4"/>
      <w:w w:val="95"/>
      <w:sz w:val="18"/>
      <w:szCs w:val="18"/>
    </w:rPr>
  </w:style>
  <w:style w:type="paragraph" w:customStyle="1" w:styleId="a5">
    <w:name w:val="Таблица"/>
    <w:basedOn w:val="a3"/>
    <w:uiPriority w:val="99"/>
    <w:rsid w:val="00887A73"/>
    <w:pPr>
      <w:spacing w:line="180" w:lineRule="atLeast"/>
      <w:jc w:val="both"/>
    </w:pPr>
    <w:rPr>
      <w:rFonts w:ascii="Arial" w:hAnsi="Arial" w:cs="Arial"/>
      <w:w w:val="90"/>
      <w:sz w:val="17"/>
      <w:szCs w:val="17"/>
    </w:rPr>
  </w:style>
  <w:style w:type="paragraph" w:customStyle="1" w:styleId="a6">
    <w:name w:val="подстрочник"/>
    <w:basedOn w:val="a3"/>
    <w:uiPriority w:val="99"/>
    <w:rsid w:val="00887A73"/>
    <w:pPr>
      <w:spacing w:line="170" w:lineRule="atLeast"/>
      <w:jc w:val="center"/>
    </w:pPr>
    <w:rPr>
      <w:rFonts w:ascii="Arial" w:hAnsi="Arial" w:cs="Arial"/>
      <w:i/>
      <w:iCs/>
      <w:spacing w:val="3"/>
      <w:w w:val="9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10040</Words>
  <Characters>57232</Characters>
  <Application>Microsoft Office Word</Application>
  <DocSecurity>0</DocSecurity>
  <Lines>476</Lines>
  <Paragraphs>134</Paragraphs>
  <ScaleCrop>false</ScaleCrop>
  <Company/>
  <LinksUpToDate>false</LinksUpToDate>
  <CharactersWithSpaces>67138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2013-10-17T10:00:00Z</dcterms:created>
  <dcterms:modified xsi:type="dcterms:W3CDTF">2013-12-12T10:56:00Z</dcterms:modified>
</cp:coreProperties>
</file>